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Default Extension="wdp" ContentType="image/vnd.ms-photo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07A5" w:rsidRDefault="003443EB">
      <w:pPr>
        <w:spacing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margin">
              <wp:posOffset>5530850</wp:posOffset>
            </wp:positionH>
            <wp:positionV relativeFrom="paragraph">
              <wp:posOffset>163830</wp:posOffset>
            </wp:positionV>
            <wp:extent cx="1120140" cy="11201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53ACD">
        <w:rPr>
          <w:rFonts w:ascii="Times New Roman" w:eastAsia="Times New Roman" w:hAnsi="Times New Roman" w:cs="Times New Roman"/>
          <w:sz w:val="72"/>
          <w:szCs w:val="72"/>
        </w:rPr>
        <w:t xml:space="preserve">                </w:t>
      </w:r>
    </w:p>
    <w:p w:rsidR="00BD07A5" w:rsidRPr="00E570AF" w:rsidRDefault="00053ACD">
      <w:pPr>
        <w:spacing w:line="240" w:lineRule="auto"/>
        <w:jc w:val="center"/>
        <w:rPr>
          <w:rFonts w:asciiTheme="majorHAnsi" w:hAnsiTheme="majorHAnsi" w:cstheme="majorHAnsi"/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E570AF">
        <w:rPr>
          <w:rFonts w:asciiTheme="majorHAnsi" w:hAnsiTheme="majorHAnsi" w:cstheme="majorHAnsi"/>
          <w:sz w:val="72"/>
          <w:szCs w:val="72"/>
        </w:rPr>
        <w:t xml:space="preserve">MAMPS </w:t>
      </w:r>
    </w:p>
    <w:p w:rsidR="00BD07A5" w:rsidRPr="00E570AF" w:rsidRDefault="00053ACD">
      <w:pPr>
        <w:spacing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sz w:val="36"/>
          <w:szCs w:val="36"/>
        </w:rPr>
        <w:t xml:space="preserve">              </w:t>
      </w:r>
      <w:proofErr w:type="spellStart"/>
      <w:r w:rsidRPr="00E570AF">
        <w:rPr>
          <w:rFonts w:asciiTheme="majorHAnsi" w:hAnsiTheme="majorHAnsi" w:cstheme="majorHAnsi"/>
          <w:sz w:val="32"/>
          <w:szCs w:val="32"/>
        </w:rPr>
        <w:t>Maternity</w:t>
      </w:r>
      <w:r w:rsidRPr="00E570AF">
        <w:rPr>
          <w:rFonts w:asciiTheme="majorHAnsi" w:hAnsiTheme="majorHAnsi" w:cstheme="majorHAnsi"/>
          <w:b/>
          <w:sz w:val="44"/>
          <w:szCs w:val="44"/>
        </w:rPr>
        <w:t>.</w:t>
      </w:r>
      <w:r w:rsidRPr="00E570AF">
        <w:rPr>
          <w:rFonts w:asciiTheme="majorHAnsi" w:hAnsiTheme="majorHAnsi" w:cstheme="majorHAnsi"/>
          <w:sz w:val="32"/>
          <w:szCs w:val="32"/>
        </w:rPr>
        <w:t>Acupuncture</w:t>
      </w:r>
      <w:r w:rsidRPr="00E570AF">
        <w:rPr>
          <w:rFonts w:asciiTheme="majorHAnsi" w:hAnsiTheme="majorHAnsi" w:cstheme="majorHAnsi"/>
          <w:b/>
          <w:sz w:val="44"/>
          <w:szCs w:val="44"/>
        </w:rPr>
        <w:t>.</w:t>
      </w:r>
      <w:r w:rsidRPr="00E570AF">
        <w:rPr>
          <w:rFonts w:asciiTheme="majorHAnsi" w:hAnsiTheme="majorHAnsi" w:cstheme="majorHAnsi"/>
          <w:sz w:val="32"/>
          <w:szCs w:val="32"/>
        </w:rPr>
        <w:t>Mentoring</w:t>
      </w:r>
      <w:r w:rsidRPr="00E570AF">
        <w:rPr>
          <w:rFonts w:asciiTheme="majorHAnsi" w:hAnsiTheme="majorHAnsi" w:cstheme="majorHAnsi"/>
          <w:b/>
          <w:sz w:val="44"/>
          <w:szCs w:val="44"/>
        </w:rPr>
        <w:t>.</w:t>
      </w:r>
      <w:r w:rsidRPr="00E570AF">
        <w:rPr>
          <w:rFonts w:asciiTheme="majorHAnsi" w:hAnsiTheme="majorHAnsi" w:cstheme="majorHAnsi"/>
          <w:sz w:val="32"/>
          <w:szCs w:val="32"/>
        </w:rPr>
        <w:t>Peer</w:t>
      </w:r>
      <w:proofErr w:type="spellEnd"/>
      <w:r w:rsidRPr="00E570AF">
        <w:rPr>
          <w:rFonts w:asciiTheme="majorHAnsi" w:hAnsiTheme="majorHAnsi" w:cstheme="majorHAnsi"/>
          <w:sz w:val="32"/>
          <w:szCs w:val="32"/>
        </w:rPr>
        <w:t xml:space="preserve"> Support </w:t>
      </w:r>
    </w:p>
    <w:p w:rsidR="00BD07A5" w:rsidRDefault="00053ACD" w:rsidP="00C82027">
      <w:pPr>
        <w:spacing w:line="240" w:lineRule="auto"/>
        <w:jc w:val="center"/>
        <w:rPr>
          <w:rFonts w:asciiTheme="majorHAnsi" w:hAnsiTheme="majorHAnsi" w:cstheme="majorHAnsi"/>
          <w:sz w:val="48"/>
          <w:szCs w:val="48"/>
        </w:rPr>
      </w:pPr>
      <w:r w:rsidRPr="00E570AF">
        <w:rPr>
          <w:rFonts w:asciiTheme="majorHAnsi" w:hAnsiTheme="majorHAnsi" w:cstheme="majorHAnsi"/>
          <w:sz w:val="20"/>
          <w:szCs w:val="20"/>
        </w:rPr>
        <w:t xml:space="preserve">                        Dedicated to developing and supporting expertise in maternity acupuncture care</w:t>
      </w:r>
    </w:p>
    <w:p w:rsidR="00C82027" w:rsidRPr="00C82027" w:rsidRDefault="00C82027" w:rsidP="00C82027">
      <w:pPr>
        <w:spacing w:line="240" w:lineRule="auto"/>
        <w:jc w:val="center"/>
        <w:rPr>
          <w:rFonts w:asciiTheme="majorHAnsi" w:hAnsiTheme="majorHAnsi" w:cstheme="majorHAnsi"/>
          <w:sz w:val="48"/>
          <w:szCs w:val="48"/>
        </w:rPr>
      </w:pPr>
    </w:p>
    <w:p w:rsidR="00BD07A5" w:rsidRPr="00E570AF" w:rsidRDefault="00053ACD">
      <w:pPr>
        <w:jc w:val="center"/>
        <w:rPr>
          <w:rFonts w:asciiTheme="majorHAnsi" w:hAnsiTheme="majorHAnsi" w:cstheme="majorHAnsi"/>
          <w:sz w:val="36"/>
          <w:szCs w:val="36"/>
        </w:rPr>
      </w:pPr>
      <w:r w:rsidRPr="00E570AF">
        <w:rPr>
          <w:rFonts w:asciiTheme="majorHAnsi" w:hAnsiTheme="majorHAnsi" w:cstheme="majorHAnsi"/>
          <w:sz w:val="36"/>
          <w:szCs w:val="36"/>
        </w:rPr>
        <w:t xml:space="preserve">Framework for safe acupuncture practice when treating: </w:t>
      </w:r>
    </w:p>
    <w:p w:rsidR="00BD07A5" w:rsidRDefault="00563846" w:rsidP="00E516CF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Polyhydraminos</w:t>
      </w:r>
      <w:proofErr w:type="spellEnd"/>
      <w:r w:rsidR="00AE7D0A">
        <w:pict>
          <v:rect id="_x0000_i1025" style="width:0;height:1.5pt" o:hralign="center" o:hrstd="t" o:hr="t" fillcolor="#a0a0a0" stroked="f"/>
        </w:pict>
      </w:r>
    </w:p>
    <w:p w:rsidR="00BD07A5" w:rsidRPr="00E570AF" w:rsidRDefault="00053ACD">
      <w:pPr>
        <w:keepLines/>
        <w:widowControl w:val="0"/>
        <w:spacing w:line="240" w:lineRule="auto"/>
        <w:jc w:val="center"/>
        <w:rPr>
          <w:rFonts w:asciiTheme="majorHAnsi" w:hAnsiTheme="majorHAnsi" w:cstheme="majorHAnsi"/>
          <w:color w:val="1155CC"/>
          <w:sz w:val="16"/>
          <w:szCs w:val="16"/>
        </w:rPr>
      </w:pPr>
      <w:r w:rsidRPr="00E570AF">
        <w:rPr>
          <w:rFonts w:asciiTheme="majorHAnsi" w:hAnsiTheme="majorHAnsi" w:cstheme="majorHAnsi"/>
          <w:color w:val="1155CC"/>
          <w:sz w:val="16"/>
          <w:szCs w:val="16"/>
        </w:rPr>
        <w:t>This document has been prepared by the MAMPS advisory group. It aims to provide guidance for acupuncturists regarding safe clinical practice and referral considerations as assessment prior to</w:t>
      </w:r>
      <w:r w:rsidR="00950369">
        <w:rPr>
          <w:rFonts w:asciiTheme="majorHAnsi" w:hAnsiTheme="majorHAnsi" w:cstheme="majorHAnsi"/>
          <w:color w:val="1155CC"/>
          <w:sz w:val="16"/>
          <w:szCs w:val="16"/>
        </w:rPr>
        <w:t xml:space="preserve"> your</w:t>
      </w:r>
      <w:r w:rsidRPr="00E570AF">
        <w:rPr>
          <w:rFonts w:asciiTheme="majorHAnsi" w:hAnsiTheme="majorHAnsi" w:cstheme="majorHAnsi"/>
          <w:color w:val="1155CC"/>
          <w:sz w:val="16"/>
          <w:szCs w:val="16"/>
        </w:rPr>
        <w:t xml:space="preserve"> diagnosis and treatment plan.</w:t>
      </w:r>
    </w:p>
    <w:p w:rsidR="00BD07A5" w:rsidRDefault="00053ACD">
      <w:pPr>
        <w:keepLines/>
        <w:widowControl w:val="0"/>
        <w:spacing w:line="240" w:lineRule="auto"/>
        <w:jc w:val="center"/>
        <w:rPr>
          <w:noProof/>
        </w:rPr>
      </w:pPr>
      <w:r w:rsidRPr="00E570AF">
        <w:rPr>
          <w:rFonts w:asciiTheme="majorHAnsi" w:hAnsiTheme="majorHAnsi" w:cstheme="majorHAnsi"/>
          <w:color w:val="1155CC"/>
          <w:sz w:val="16"/>
          <w:szCs w:val="16"/>
        </w:rPr>
        <w:t xml:space="preserve"> Disclaimer: This information should not be relied on as a substitute for medical information.</w:t>
      </w:r>
      <w:r w:rsidR="00E570AF" w:rsidRPr="00E570AF">
        <w:rPr>
          <w:noProof/>
        </w:rPr>
        <w:t xml:space="preserve"> </w:t>
      </w:r>
    </w:p>
    <w:p w:rsidR="00E570AF" w:rsidRDefault="00AE7D0A">
      <w:pPr>
        <w:keepLines/>
        <w:widowControl w:val="0"/>
        <w:spacing w:line="240" w:lineRule="auto"/>
        <w:jc w:val="center"/>
        <w:rPr>
          <w:noProof/>
        </w:rPr>
      </w:pPr>
      <w:bookmarkStart w:id="0" w:name="_Hlk57297685"/>
      <w:bookmarkEnd w:id="0"/>
      <w:r w:rsidRPr="00AE7D0A">
        <w:rPr>
          <w:rFonts w:ascii="Times New Roman" w:eastAsia="Times New Roman" w:hAnsi="Times New Roman" w:cs="Times New Roman"/>
          <w:b/>
          <w:noProof/>
          <w:sz w:val="24"/>
          <w:szCs w:val="24"/>
          <w:lang w:val="en-AU" w:eastAsia="en-AU"/>
        </w:rPr>
        <w:pict>
          <v:group id="Group 198" o:spid="_x0000_s1026" style="position:absolute;left:0;text-align:left;margin-left:-1.65pt;margin-top:283.5pt;width:482.9pt;height:119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1570" coordsize="37168,1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">
            <v:rect id="Rectangle 199" o:spid="_x0000_s1027" style="position:absolute;left:-1570;width:37089;height:3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<v:textbox style="mso-next-textbox:#Rectangle 199">
                <w:txbxContent>
                  <w:p w:rsidR="00E570AF" w:rsidRPr="00E570AF" w:rsidRDefault="00E570AF">
                    <w:pPr>
                      <w:jc w:val="center"/>
                      <w:rPr>
                        <w:rFonts w:asciiTheme="majorHAnsi" w:eastAsiaTheme="majorEastAsia" w:hAnsiTheme="majorHAnsi" w:cstheme="majorHAnsi"/>
                        <w:color w:val="FFFFFF" w:themeColor="background1"/>
                        <w:sz w:val="24"/>
                        <w:szCs w:val="28"/>
                      </w:rPr>
                    </w:pPr>
                    <w:r w:rsidRPr="00E570AF">
                      <w:rPr>
                        <w:rFonts w:asciiTheme="majorHAnsi" w:eastAsia="Times New Roman" w:hAnsiTheme="majorHAnsi" w:cstheme="majorHAnsi"/>
                        <w:b/>
                        <w:sz w:val="24"/>
                        <w:szCs w:val="24"/>
                      </w:rPr>
                      <w:t xml:space="preserve">Professional Safety /Red flags </w:t>
                    </w:r>
                    <w:r w:rsidR="00347DD5">
                      <w:rPr>
                        <w:rFonts w:asciiTheme="majorHAnsi" w:eastAsia="Times New Roman" w:hAnsiTheme="majorHAnsi" w:cstheme="majorHAnsi"/>
                        <w:b/>
                        <w:sz w:val="24"/>
                        <w:szCs w:val="24"/>
                      </w:rPr>
                      <w:t xml:space="preserve">when treating </w:t>
                    </w:r>
                    <w:proofErr w:type="spellStart"/>
                    <w:r w:rsidR="00563846">
                      <w:rPr>
                        <w:rFonts w:ascii="Calibri" w:hAnsi="Calibri"/>
                        <w:b/>
                        <w:bCs/>
                        <w:sz w:val="24"/>
                        <w:szCs w:val="24"/>
                      </w:rPr>
                      <w:t>Polyhydraminos</w:t>
                    </w:r>
                    <w:proofErr w:type="spellEnd"/>
                  </w:p>
                </w:txbxContent>
              </v:textbox>
            </v: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0" o:spid="_x0000_s1028" type="#_x0000_t202" style="position:absolute;left:-1570;top:3860;width:37167;height:1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" fillcolor="#fbd4b4 [1305]" strokecolor="#4f81bd [3204]" strokeweight=".5pt">
              <v:textbox style="mso-next-textbox:#Text Box 200" inset=",7.2pt,,0">
                <w:txbxContent>
                  <w:p w:rsidR="00563846" w:rsidRPr="00563846" w:rsidRDefault="00563846" w:rsidP="00563846">
                    <w:pPr>
                      <w:spacing w:line="240" w:lineRule="auto"/>
                      <w:rPr>
                        <w:rFonts w:ascii="Times" w:hAnsi="Times" w:cs="Times New Roman"/>
                        <w:sz w:val="20"/>
                        <w:szCs w:val="20"/>
                        <w:lang w:val="en-US" w:eastAsia="en-US"/>
                      </w:rPr>
                    </w:pPr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 xml:space="preserve">Not all pregnancies with </w:t>
                    </w:r>
                    <w:proofErr w:type="spellStart"/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>polyhydraminos</w:t>
                    </w:r>
                    <w:proofErr w:type="spellEnd"/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 xml:space="preserve"> are suitable for acupuncture treatment.  Practitioners need to be aware of risk factors, particularly those due to PROM and cord </w:t>
                    </w:r>
                    <w:proofErr w:type="spellStart"/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>prolapse</w:t>
                    </w:r>
                    <w:proofErr w:type="spellEnd"/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 xml:space="preserve">.  Best practices </w:t>
                    </w:r>
                    <w:r w:rsidRPr="00563846">
                      <w:rPr>
                        <w:rFonts w:asciiTheme="majorHAnsi" w:hAnsiTheme="majorHAnsi" w:cs="Times New Roman"/>
                        <w:color w:val="000000"/>
                        <w:lang w:val="en-US" w:eastAsia="en-US"/>
                      </w:rPr>
                      <w:t>include</w:t>
                    </w:r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 xml:space="preserve"> the suggested clinical documentation guidelines (shown below), awareness of AFI values and fetal position, primary care/medical monitoring and familiarity with the risks factors and contraindications to acupuncture treatment when </w:t>
                    </w:r>
                    <w:proofErr w:type="spellStart"/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>polyhydraminos</w:t>
                    </w:r>
                    <w:proofErr w:type="spellEnd"/>
                    <w:r w:rsidRPr="00563846">
                      <w:rPr>
                        <w:rFonts w:cs="Times New Roman"/>
                        <w:color w:val="000000"/>
                        <w:lang w:val="en-US" w:eastAsia="en-US"/>
                      </w:rPr>
                      <w:t xml:space="preserve"> is present, particularly in late pregnancy.</w:t>
                    </w:r>
                  </w:p>
                  <w:p w:rsidR="00E570AF" w:rsidRPr="009C15B5" w:rsidRDefault="00E570AF" w:rsidP="00E570AF">
                    <w:pPr>
                      <w:keepLines/>
                      <w:widowControl w:val="0"/>
                      <w:spacing w:line="240" w:lineRule="auto"/>
                      <w:rPr>
                        <w:rFonts w:asciiTheme="majorHAnsi" w:eastAsia="Times New Roman" w:hAnsiTheme="majorHAnsi" w:cstheme="majorHAnsi"/>
                        <w:lang w:val="en-NZ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563846" w:rsidRPr="00563846" w:rsidRDefault="001D4DC7" w:rsidP="00563846">
      <w:pPr>
        <w:pStyle w:val="NormalWeb"/>
        <w:spacing w:before="0" w:after="0"/>
        <w:rPr>
          <w:rFonts w:asciiTheme="majorHAnsi" w:eastAsia="Arial" w:hAnsiTheme="majorHAnsi"/>
          <w:sz w:val="20"/>
          <w:szCs w:val="20"/>
          <w:lang w:val="en-US" w:eastAsia="en-US"/>
        </w:rPr>
      </w:pPr>
      <w:r w:rsidRPr="00892100">
        <w:rPr>
          <w:rFonts w:asciiTheme="majorHAnsi" w:hAnsiTheme="majorHAnsi" w:cstheme="majorHAnsi"/>
          <w:b/>
          <w:bCs/>
          <w:color w:val="000000"/>
        </w:rPr>
        <w:t>Background:</w:t>
      </w:r>
      <w:r w:rsidR="009C15B5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>Polyhydramnois</w:t>
      </w:r>
      <w:proofErr w:type="spellEnd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 xml:space="preserve"> is characterized by a high amniotic fluid index (AFI) of at or above 24cm or a vertical pocket of 8cm or more.  Although the majority of </w:t>
      </w:r>
      <w:proofErr w:type="spellStart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>polyhydraminos</w:t>
      </w:r>
      <w:proofErr w:type="spellEnd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 xml:space="preserve"> cases are idiopathic, conditions such as multiple gestation, gestational di</w:t>
      </w:r>
      <w:r w:rsid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>abetes, fetal-maternal he</w:t>
      </w:r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 xml:space="preserve">morrhage, fetal abnormalities, or infection are associated with </w:t>
      </w:r>
      <w:proofErr w:type="spellStart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>polyhydraminos</w:t>
      </w:r>
      <w:proofErr w:type="spellEnd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 xml:space="preserve">.  When a patient receives diagnosis of </w:t>
      </w:r>
      <w:proofErr w:type="spellStart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>polyhydraminos</w:t>
      </w:r>
      <w:proofErr w:type="spellEnd"/>
      <w:r w:rsidR="00563846" w:rsidRPr="00563846">
        <w:rPr>
          <w:rFonts w:asciiTheme="majorHAnsi" w:eastAsia="Arial" w:hAnsiTheme="majorHAnsi"/>
          <w:color w:val="000000"/>
          <w:sz w:val="22"/>
          <w:szCs w:val="22"/>
          <w:lang w:val="en-US" w:eastAsia="en-US"/>
        </w:rPr>
        <w:t xml:space="preserve"> it can be important to reassure the parents that this finding is often idiopathic in nature.</w:t>
      </w:r>
    </w:p>
    <w:p w:rsidR="00563846" w:rsidRPr="00563846" w:rsidRDefault="00563846" w:rsidP="00563846">
      <w:pPr>
        <w:spacing w:line="240" w:lineRule="auto"/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563846">
        <w:rPr>
          <w:rFonts w:asciiTheme="majorHAnsi" w:hAnsiTheme="majorHAnsi" w:cs="Times New Roman"/>
          <w:color w:val="000000"/>
          <w:lang w:val="en-US" w:eastAsia="en-US"/>
        </w:rPr>
        <w:t xml:space="preserve">Difficulty breathing, lower body edema, lower back pain, heartburn and nausea can all become problematic in </w:t>
      </w:r>
      <w:proofErr w:type="spellStart"/>
      <w:r w:rsidRPr="00563846">
        <w:rPr>
          <w:rFonts w:asciiTheme="majorHAnsi" w:hAnsiTheme="majorHAnsi" w:cs="Times New Roman"/>
          <w:color w:val="000000"/>
          <w:lang w:val="en-US" w:eastAsia="en-US"/>
        </w:rPr>
        <w:t>polyhydraminos</w:t>
      </w:r>
      <w:proofErr w:type="spellEnd"/>
      <w:r w:rsidRPr="00563846">
        <w:rPr>
          <w:rFonts w:asciiTheme="majorHAnsi" w:hAnsiTheme="majorHAnsi" w:cs="Times New Roman"/>
          <w:color w:val="000000"/>
          <w:lang w:val="en-US" w:eastAsia="en-US"/>
        </w:rPr>
        <w:t xml:space="preserve"> due to the increased size of the uterus.  While these symptoms can be helped by acupuncture in clinic, it is important to recognize that </w:t>
      </w:r>
      <w:proofErr w:type="spellStart"/>
      <w:r w:rsidRPr="00563846">
        <w:rPr>
          <w:rFonts w:asciiTheme="majorHAnsi" w:hAnsiTheme="majorHAnsi" w:cs="Times New Roman"/>
          <w:color w:val="000000"/>
          <w:lang w:val="en-US" w:eastAsia="en-US"/>
        </w:rPr>
        <w:t>polyhydraminos</w:t>
      </w:r>
      <w:proofErr w:type="spellEnd"/>
      <w:r w:rsidRPr="00563846">
        <w:rPr>
          <w:rFonts w:asciiTheme="majorHAnsi" w:hAnsiTheme="majorHAnsi" w:cs="Times New Roman"/>
          <w:color w:val="000000"/>
          <w:lang w:val="en-US" w:eastAsia="en-US"/>
        </w:rPr>
        <w:t xml:space="preserve"> carries risk of preterm labor, PROM, cord </w:t>
      </w:r>
      <w:proofErr w:type="spellStart"/>
      <w:r w:rsidRPr="00563846">
        <w:rPr>
          <w:rFonts w:asciiTheme="majorHAnsi" w:hAnsiTheme="majorHAnsi" w:cs="Times New Roman"/>
          <w:color w:val="000000"/>
          <w:lang w:val="en-US" w:eastAsia="en-US"/>
        </w:rPr>
        <w:t>prolapse</w:t>
      </w:r>
      <w:proofErr w:type="spellEnd"/>
      <w:r w:rsidRPr="00563846">
        <w:rPr>
          <w:rFonts w:asciiTheme="majorHAnsi" w:hAnsiTheme="majorHAnsi" w:cs="Times New Roman"/>
          <w:color w:val="000000"/>
          <w:lang w:val="en-US" w:eastAsia="en-US"/>
        </w:rPr>
        <w:t xml:space="preserve">, </w:t>
      </w:r>
      <w:proofErr w:type="spellStart"/>
      <w:r w:rsidRPr="00563846">
        <w:rPr>
          <w:rFonts w:asciiTheme="majorHAnsi" w:hAnsiTheme="majorHAnsi" w:cs="Times New Roman"/>
          <w:color w:val="000000"/>
          <w:lang w:val="en-US" w:eastAsia="en-US"/>
        </w:rPr>
        <w:t>malposition</w:t>
      </w:r>
      <w:proofErr w:type="spellEnd"/>
      <w:r w:rsidRPr="00563846">
        <w:rPr>
          <w:rFonts w:asciiTheme="majorHAnsi" w:hAnsiTheme="majorHAnsi" w:cs="Times New Roman"/>
          <w:color w:val="000000"/>
          <w:lang w:val="en-US" w:eastAsia="en-US"/>
        </w:rPr>
        <w:t xml:space="preserve"> of the baby, placenta abruption and the potential for postpartum hemorrhage.  These risks should be taken into consideration when creating a treatment plan, particularly in relation to </w:t>
      </w:r>
      <w:proofErr w:type="spellStart"/>
      <w:r w:rsidRPr="00563846">
        <w:rPr>
          <w:rFonts w:asciiTheme="majorHAnsi" w:hAnsiTheme="majorHAnsi" w:cs="Times New Roman"/>
          <w:color w:val="000000"/>
          <w:lang w:val="en-US" w:eastAsia="en-US"/>
        </w:rPr>
        <w:t>prebirth</w:t>
      </w:r>
      <w:proofErr w:type="spellEnd"/>
      <w:r w:rsidRPr="00563846">
        <w:rPr>
          <w:rFonts w:asciiTheme="majorHAnsi" w:hAnsiTheme="majorHAnsi" w:cs="Times New Roman"/>
          <w:color w:val="000000"/>
          <w:lang w:val="en-US" w:eastAsia="en-US"/>
        </w:rPr>
        <w:t xml:space="preserve"> and labor facilitation treatments outside of the hospital prior to a medical induction.  Precautions should also be taken by acupuncturists providing treatment during labor in an out of hospital setting.</w:t>
      </w:r>
    </w:p>
    <w:p w:rsidR="008E7A52" w:rsidRPr="00563846" w:rsidRDefault="001D4DC7" w:rsidP="00563846">
      <w:pPr>
        <w:pStyle w:val="NormalWeb"/>
        <w:rPr>
          <w:rFonts w:asciiTheme="majorHAnsi" w:hAnsiTheme="majorHAnsi"/>
        </w:rPr>
      </w:pPr>
      <w:r w:rsidRPr="001D4DC7">
        <w:rPr>
          <w:rFonts w:asciiTheme="majorHAnsi" w:hAnsiTheme="majorHAnsi" w:cstheme="majorHAnsi"/>
          <w:b/>
          <w:bCs/>
          <w:color w:val="000000"/>
        </w:rPr>
        <w:t>Risk factors</w:t>
      </w:r>
      <w:r>
        <w:rPr>
          <w:rFonts w:asciiTheme="majorHAnsi" w:hAnsiTheme="majorHAnsi" w:cstheme="majorHAnsi"/>
          <w:color w:val="000000"/>
        </w:rPr>
        <w:t xml:space="preserve"> </w:t>
      </w:r>
      <w:r w:rsidRPr="00F96880">
        <w:rPr>
          <w:rFonts w:asciiTheme="majorHAnsi" w:hAnsiTheme="majorHAnsi" w:cstheme="majorHAnsi"/>
          <w:b/>
          <w:bCs/>
          <w:color w:val="000000"/>
        </w:rPr>
        <w:t>that require consideration</w:t>
      </w:r>
      <w:r w:rsidR="00563846">
        <w:rPr>
          <w:rFonts w:asciiTheme="majorHAnsi" w:hAnsiTheme="majorHAnsi" w:cstheme="majorHAnsi"/>
          <w:b/>
          <w:bCs/>
          <w:color w:val="000000"/>
        </w:rPr>
        <w:t xml:space="preserve">: </w:t>
      </w:r>
      <w:r w:rsidR="00563846" w:rsidRPr="00563846">
        <w:rPr>
          <w:rFonts w:asciiTheme="majorHAnsi" w:hAnsiTheme="majorHAnsi"/>
          <w:color w:val="000000"/>
          <w:sz w:val="22"/>
          <w:szCs w:val="22"/>
        </w:rPr>
        <w:t>Due to high levels of fluid the fetus may have an unstable lie in the uterus and not be well positioned or well engaged.  This presents a risk for cord prolapse should membranes rupture. </w:t>
      </w:r>
    </w:p>
    <w:p w:rsidR="009C15B5" w:rsidRDefault="00AE7D0A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E7D0A">
        <w:rPr>
          <w:rFonts w:asciiTheme="majorHAnsi" w:hAnsiTheme="majorHAnsi" w:cstheme="majorHAnsi"/>
          <w:noProof/>
          <w:sz w:val="24"/>
          <w:szCs w:val="24"/>
        </w:rPr>
        <w:pict>
          <v:shape id="Text Box 6" o:spid="_x0000_s1029" type="#_x0000_t202" style="position:absolute;margin-left:0;margin-top:9.55pt;width:404.5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" fillcolor="white [3201]" strokeweight=".5pt">
            <v:textbox>
              <w:txbxContent>
                <w:p w:rsidR="00563846" w:rsidRDefault="008E7A52" w:rsidP="00563846">
                  <w:pPr>
                    <w:shd w:val="clear" w:color="auto" w:fill="FABF8F" w:themeFill="accent6" w:themeFillTint="99"/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en-NZ"/>
                    </w:rPr>
                  </w:pPr>
                  <w:r w:rsidRPr="00C140C0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en-NZ"/>
                    </w:rPr>
                    <w:t>Application to Clinical Practice </w:t>
                  </w:r>
                </w:p>
                <w:p w:rsidR="008E7A52" w:rsidRPr="00563846" w:rsidRDefault="00563846" w:rsidP="00563846">
                  <w:pPr>
                    <w:shd w:val="clear" w:color="auto" w:fill="FABF8F" w:themeFill="accent6" w:themeFillTint="99"/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NZ"/>
                    </w:rPr>
                  </w:pPr>
                  <w:r w:rsidRPr="00563846">
                    <w:rPr>
                      <w:rFonts w:asciiTheme="majorHAnsi" w:hAnsiTheme="majorHAnsi"/>
                      <w:color w:val="000000"/>
                    </w:rPr>
                    <w:t xml:space="preserve">Best practice when treating patients with </w:t>
                  </w:r>
                  <w:proofErr w:type="spellStart"/>
                  <w:r w:rsidRPr="00563846">
                    <w:rPr>
                      <w:rFonts w:asciiTheme="majorHAnsi" w:hAnsiTheme="majorHAnsi"/>
                      <w:color w:val="000000"/>
                    </w:rPr>
                    <w:t>polyhydraminos</w:t>
                  </w:r>
                  <w:proofErr w:type="spellEnd"/>
                  <w:r w:rsidRPr="00563846">
                    <w:rPr>
                      <w:rFonts w:asciiTheme="majorHAnsi" w:hAnsiTheme="majorHAnsi"/>
                      <w:color w:val="000000"/>
                    </w:rPr>
                    <w:t xml:space="preserve"> includes documenting AFI values and </w:t>
                  </w:r>
                  <w:proofErr w:type="spellStart"/>
                  <w:r w:rsidRPr="00563846">
                    <w:rPr>
                      <w:rFonts w:asciiTheme="majorHAnsi" w:hAnsiTheme="majorHAnsi"/>
                      <w:color w:val="000000"/>
                    </w:rPr>
                    <w:t>fetal</w:t>
                  </w:r>
                  <w:proofErr w:type="spellEnd"/>
                  <w:r w:rsidRPr="00563846">
                    <w:rPr>
                      <w:rFonts w:asciiTheme="majorHAnsi" w:hAnsiTheme="majorHAnsi"/>
                      <w:color w:val="000000"/>
                    </w:rPr>
                    <w:t xml:space="preserve"> position (if known) and understanding the primary medical management plan for </w:t>
                  </w:r>
                  <w:proofErr w:type="spellStart"/>
                  <w:r w:rsidRPr="00563846">
                    <w:rPr>
                      <w:rFonts w:asciiTheme="majorHAnsi" w:hAnsiTheme="majorHAnsi"/>
                      <w:color w:val="000000"/>
                    </w:rPr>
                    <w:t>labor</w:t>
                  </w:r>
                  <w:proofErr w:type="spellEnd"/>
                  <w:r w:rsidRPr="00563846">
                    <w:rPr>
                      <w:rFonts w:asciiTheme="majorHAnsi" w:hAnsiTheme="majorHAnsi"/>
                      <w:color w:val="000000"/>
                    </w:rPr>
                    <w:t xml:space="preserve"> and birth.  Due to increased risk factors in late pregnancy particular caution should be given with </w:t>
                  </w:r>
                  <w:proofErr w:type="spellStart"/>
                  <w:r w:rsidRPr="00563846">
                    <w:rPr>
                      <w:rFonts w:asciiTheme="majorHAnsi" w:hAnsiTheme="majorHAnsi"/>
                      <w:color w:val="000000"/>
                    </w:rPr>
                    <w:t>prebirth</w:t>
                  </w:r>
                  <w:proofErr w:type="spellEnd"/>
                  <w:r w:rsidRPr="00563846">
                    <w:rPr>
                      <w:rFonts w:asciiTheme="majorHAnsi" w:hAnsiTheme="majorHAnsi"/>
                      <w:color w:val="000000"/>
                    </w:rPr>
                    <w:t xml:space="preserve"> and </w:t>
                  </w:r>
                  <w:proofErr w:type="spellStart"/>
                  <w:r w:rsidRPr="00563846">
                    <w:rPr>
                      <w:rFonts w:asciiTheme="majorHAnsi" w:hAnsiTheme="majorHAnsi"/>
                      <w:color w:val="000000"/>
                    </w:rPr>
                    <w:t>labor</w:t>
                  </w:r>
                  <w:proofErr w:type="spellEnd"/>
                  <w:r w:rsidRPr="00563846">
                    <w:rPr>
                      <w:rFonts w:asciiTheme="majorHAnsi" w:hAnsiTheme="majorHAnsi"/>
                      <w:color w:val="000000"/>
                    </w:rPr>
                    <w:t xml:space="preserve"> facilitation acupuncture and continuing communication with the primary caregiver regarding is recommended</w:t>
                  </w:r>
                </w:p>
              </w:txbxContent>
            </v:textbox>
            <w10:wrap anchorx="margin"/>
          </v:shape>
        </w:pict>
      </w: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976B0" w:rsidRDefault="003976B0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C15B5" w:rsidRDefault="009C15B5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00EB9" w:rsidRPr="006C63F9" w:rsidRDefault="001D0E2A" w:rsidP="00E570AF">
      <w:pPr>
        <w:keepLines/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482850" cy="6207680"/>
            <wp:effectExtent l="0" t="0" r="0" b="317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638" cy="623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2A6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3103245</wp:posOffset>
            </wp:positionH>
            <wp:positionV relativeFrom="paragraph">
              <wp:posOffset>22225</wp:posOffset>
            </wp:positionV>
            <wp:extent cx="3209925" cy="6654800"/>
            <wp:effectExtent l="25400" t="0" r="1587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D6C13" w:rsidRDefault="00AE7D0A" w:rsidP="00B27B19">
      <w:pPr>
        <w:keepLines/>
        <w:widowControl w:val="0"/>
        <w:spacing w:line="240" w:lineRule="auto"/>
        <w:rPr>
          <w:rFonts w:asciiTheme="majorHAnsi" w:hAnsiTheme="majorHAnsi" w:cstheme="majorHAnsi"/>
          <w:b/>
        </w:rPr>
      </w:pPr>
      <w:r w:rsidRPr="00AE7D0A">
        <w:rPr>
          <w:rFonts w:asciiTheme="majorHAnsi" w:hAnsiTheme="majorHAnsi" w:cstheme="majorHAnsi"/>
          <w:b/>
          <w:noProof/>
        </w:rPr>
        <w:pict>
          <v:shape id="Text Box 5" o:spid="_x0000_s1030" type="#_x0000_t202" style="position:absolute;margin-left:2.35pt;margin-top:1.9pt;width:242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" fillcolor="white [3201]" strokeweight=".5pt">
            <v:textbox>
              <w:txbxContent>
                <w:p w:rsidR="003D6C13" w:rsidRPr="003D6C13" w:rsidRDefault="00400707">
                  <w:pPr>
                    <w:rPr>
                      <w:sz w:val="18"/>
                      <w:szCs w:val="18"/>
                      <w:lang w:val="en-NZ"/>
                    </w:rPr>
                  </w:pPr>
                  <w:r>
                    <w:rPr>
                      <w:sz w:val="18"/>
                      <w:szCs w:val="18"/>
                      <w:lang w:val="en-NZ"/>
                    </w:rPr>
                    <w:t xml:space="preserve">Example:  </w:t>
                  </w:r>
                  <w:r w:rsidR="003D6C13" w:rsidRPr="003D6C13">
                    <w:rPr>
                      <w:sz w:val="18"/>
                      <w:szCs w:val="18"/>
                      <w:lang w:val="en-NZ"/>
                    </w:rPr>
                    <w:t xml:space="preserve">This needs to be done in a separate programme but if you can </w:t>
                  </w:r>
                  <w:r w:rsidR="003D6C13">
                    <w:rPr>
                      <w:sz w:val="18"/>
                      <w:szCs w:val="18"/>
                      <w:lang w:val="en-NZ"/>
                    </w:rPr>
                    <w:t>provide the wording much appreciated !</w:t>
                  </w:r>
                </w:p>
              </w:txbxContent>
            </v:textbox>
          </v:shape>
        </w:pict>
      </w:r>
    </w:p>
    <w:p w:rsidR="003D6C13" w:rsidRDefault="003D6C13" w:rsidP="00B27B19">
      <w:pPr>
        <w:keepLines/>
        <w:widowControl w:val="0"/>
        <w:spacing w:line="240" w:lineRule="auto"/>
        <w:rPr>
          <w:rFonts w:asciiTheme="majorHAnsi" w:hAnsiTheme="majorHAnsi" w:cstheme="majorHAnsi"/>
          <w:b/>
        </w:rPr>
      </w:pPr>
    </w:p>
    <w:p w:rsidR="003D6C13" w:rsidRDefault="003D6C13" w:rsidP="00B27B19">
      <w:pPr>
        <w:keepLines/>
        <w:widowControl w:val="0"/>
        <w:spacing w:line="240" w:lineRule="auto"/>
        <w:rPr>
          <w:rFonts w:asciiTheme="majorHAnsi" w:hAnsiTheme="majorHAnsi" w:cstheme="majorHAnsi"/>
          <w:b/>
        </w:rPr>
      </w:pPr>
    </w:p>
    <w:p w:rsidR="003D6C13" w:rsidRDefault="003D6C13" w:rsidP="00B27B19">
      <w:pPr>
        <w:keepLines/>
        <w:widowControl w:val="0"/>
        <w:spacing w:line="240" w:lineRule="auto"/>
        <w:rPr>
          <w:rFonts w:asciiTheme="majorHAnsi" w:hAnsiTheme="majorHAnsi" w:cstheme="majorHAnsi"/>
          <w:b/>
        </w:rPr>
      </w:pPr>
    </w:p>
    <w:p w:rsidR="00563846" w:rsidRDefault="00B27B19" w:rsidP="00B27B19">
      <w:pPr>
        <w:keepLines/>
        <w:widowControl w:val="0"/>
        <w:spacing w:line="240" w:lineRule="auto"/>
        <w:rPr>
          <w:rFonts w:asciiTheme="majorHAnsi" w:hAnsiTheme="majorHAnsi" w:cstheme="majorHAnsi"/>
          <w:b/>
        </w:rPr>
      </w:pPr>
      <w:r w:rsidRPr="003B5601">
        <w:rPr>
          <w:rFonts w:asciiTheme="majorHAnsi" w:hAnsiTheme="majorHAnsi" w:cstheme="majorHAnsi"/>
          <w:b/>
        </w:rPr>
        <w:t>Recommended reading:</w:t>
      </w:r>
    </w:p>
    <w:p w:rsidR="003D6C13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 xml:space="preserve">King, T. L. (2013). </w:t>
      </w:r>
      <w:proofErr w:type="gramStart"/>
      <w:r w:rsidRPr="00563846">
        <w:rPr>
          <w:rFonts w:cs="Times New Roman"/>
          <w:i/>
          <w:iCs/>
          <w:color w:val="000000"/>
          <w:lang w:val="en-US" w:eastAsia="en-US"/>
        </w:rPr>
        <w:t>Varney's midwifery.</w:t>
      </w:r>
      <w:proofErr w:type="gramEnd"/>
      <w:r w:rsidRPr="00563846">
        <w:rPr>
          <w:rFonts w:cs="Times New Roman"/>
          <w:color w:val="000000"/>
          <w:lang w:val="en-US" w:eastAsia="en-US"/>
        </w:rPr>
        <w:t xml:space="preserve"> Fifth edition. Burlington, Massachusetts: Jones &amp; Bartlett Learning.</w:t>
      </w:r>
    </w:p>
    <w:p w:rsidR="003D6C13" w:rsidRDefault="003D6C13" w:rsidP="001D4DC7">
      <w:pPr>
        <w:keepLines/>
        <w:widowControl w:val="0"/>
        <w:spacing w:line="240" w:lineRule="auto"/>
        <w:rPr>
          <w:rFonts w:asciiTheme="majorHAnsi" w:hAnsiTheme="majorHAnsi" w:cstheme="majorHAnsi"/>
          <w:b/>
        </w:rPr>
      </w:pPr>
    </w:p>
    <w:p w:rsidR="001D4DC7" w:rsidRPr="00A46BB3" w:rsidRDefault="001D4DC7" w:rsidP="001D4DC7">
      <w:pPr>
        <w:keepLines/>
        <w:widowControl w:val="0"/>
        <w:spacing w:line="240" w:lineRule="auto"/>
        <w:rPr>
          <w:rFonts w:asciiTheme="majorHAnsi" w:hAnsiTheme="majorHAnsi" w:cstheme="majorHAnsi"/>
        </w:rPr>
      </w:pPr>
      <w:r w:rsidRPr="00D877D8">
        <w:rPr>
          <w:rFonts w:asciiTheme="majorHAnsi" w:hAnsiTheme="majorHAnsi" w:cstheme="majorHAnsi"/>
          <w:b/>
        </w:rPr>
        <w:t>Guidelines</w:t>
      </w:r>
      <w:r w:rsidRPr="00D877D8">
        <w:rPr>
          <w:rFonts w:asciiTheme="majorHAnsi" w:hAnsiTheme="majorHAnsi" w:cstheme="majorHAnsi"/>
        </w:rPr>
        <w:t xml:space="preserve"> </w:t>
      </w:r>
      <w:bookmarkStart w:id="1" w:name="_bblhxxhsxck1" w:colFirst="0" w:colLast="0"/>
      <w:bookmarkStart w:id="2" w:name="_j82ovgkeuw1g" w:colFirst="0" w:colLast="0"/>
      <w:bookmarkEnd w:id="1"/>
      <w:bookmarkEnd w:id="2"/>
    </w:p>
    <w:p w:rsidR="003D6C13" w:rsidRDefault="003D6C13" w:rsidP="001D4DC7">
      <w:pPr>
        <w:rPr>
          <w:rFonts w:asciiTheme="majorHAnsi" w:hAnsiTheme="majorHAnsi" w:cstheme="majorHAnsi"/>
          <w:b/>
        </w:rPr>
      </w:pPr>
    </w:p>
    <w:p w:rsidR="00563846" w:rsidRDefault="008C736D" w:rsidP="001D4DC7">
      <w:p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 xml:space="preserve">Websites </w:t>
      </w:r>
      <w:r w:rsidR="00563846">
        <w:rPr>
          <w:rFonts w:asciiTheme="majorHAnsi" w:hAnsiTheme="majorHAnsi" w:cstheme="majorHAnsi"/>
          <w:b/>
        </w:rPr>
        <w:t>:</w:t>
      </w:r>
      <w:proofErr w:type="gramEnd"/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>“</w:t>
      </w:r>
      <w:proofErr w:type="spellStart"/>
      <w:r w:rsidRPr="00563846">
        <w:rPr>
          <w:rFonts w:cs="Times New Roman"/>
          <w:color w:val="000000"/>
          <w:lang w:val="en-US" w:eastAsia="en-US"/>
        </w:rPr>
        <w:t>Polyhydramnios</w:t>
      </w:r>
      <w:proofErr w:type="spellEnd"/>
      <w:r w:rsidRPr="00563846">
        <w:rPr>
          <w:rFonts w:cs="Times New Roman"/>
          <w:color w:val="000000"/>
          <w:lang w:val="en-US" w:eastAsia="en-US"/>
        </w:rPr>
        <w:t xml:space="preserve">.” (2021) </w:t>
      </w:r>
      <w:r w:rsidRPr="00563846">
        <w:rPr>
          <w:rFonts w:cs="Times New Roman"/>
          <w:i/>
          <w:iCs/>
          <w:color w:val="000000"/>
          <w:lang w:val="en-US" w:eastAsia="en-US"/>
        </w:rPr>
        <w:t>The Fetal Medicine Foundation</w:t>
      </w:r>
      <w:r w:rsidRPr="00563846">
        <w:rPr>
          <w:rFonts w:cs="Times New Roman"/>
          <w:color w:val="000000"/>
          <w:lang w:val="en-US" w:eastAsia="en-US"/>
        </w:rPr>
        <w:t>, fetalmedicine.org/education/fetal-abnormalities/amniotic-fluid/polyhydramnios.</w:t>
      </w:r>
    </w:p>
    <w:p w:rsidR="008C736D" w:rsidRDefault="008C736D" w:rsidP="001D4DC7">
      <w:pPr>
        <w:rPr>
          <w:rFonts w:asciiTheme="majorHAnsi" w:eastAsia="Times New Roman" w:hAnsiTheme="majorHAnsi" w:cstheme="majorHAnsi"/>
          <w:sz w:val="18"/>
          <w:szCs w:val="18"/>
        </w:rPr>
      </w:pPr>
    </w:p>
    <w:p w:rsidR="00563846" w:rsidRDefault="00563846" w:rsidP="001D4DC7">
      <w:pPr>
        <w:rPr>
          <w:rFonts w:asciiTheme="majorHAnsi" w:hAnsiTheme="majorHAnsi" w:cstheme="majorHAnsi"/>
          <w:color w:val="1155CC"/>
          <w:sz w:val="18"/>
          <w:szCs w:val="18"/>
          <w:u w:val="single"/>
        </w:rPr>
      </w:pPr>
    </w:p>
    <w:p w:rsidR="00563846" w:rsidRDefault="00563846" w:rsidP="001D4DC7">
      <w:pPr>
        <w:rPr>
          <w:rFonts w:asciiTheme="majorHAnsi" w:hAnsiTheme="majorHAnsi" w:cstheme="majorHAnsi"/>
          <w:color w:val="1155CC"/>
          <w:sz w:val="18"/>
          <w:szCs w:val="18"/>
          <w:u w:val="single"/>
        </w:rPr>
      </w:pPr>
    </w:p>
    <w:p w:rsidR="00563846" w:rsidRDefault="00563846" w:rsidP="001D4DC7">
      <w:pPr>
        <w:rPr>
          <w:rFonts w:asciiTheme="majorHAnsi" w:hAnsiTheme="majorHAnsi" w:cstheme="majorHAnsi"/>
          <w:color w:val="1155CC"/>
          <w:sz w:val="18"/>
          <w:szCs w:val="18"/>
          <w:u w:val="single"/>
        </w:rPr>
      </w:pPr>
    </w:p>
    <w:p w:rsidR="00563846" w:rsidRDefault="00563846" w:rsidP="001D4DC7">
      <w:pPr>
        <w:rPr>
          <w:rFonts w:asciiTheme="majorHAnsi" w:hAnsiTheme="majorHAnsi" w:cstheme="majorHAnsi"/>
          <w:color w:val="1155CC"/>
          <w:sz w:val="18"/>
          <w:szCs w:val="18"/>
          <w:u w:val="single"/>
        </w:rPr>
      </w:pPr>
    </w:p>
    <w:p w:rsidR="00563846" w:rsidRDefault="00563846" w:rsidP="00563846">
      <w:pPr>
        <w:spacing w:line="240" w:lineRule="auto"/>
        <w:rPr>
          <w:rFonts w:cs="Times New Roman"/>
          <w:b/>
          <w:bCs/>
          <w:color w:val="000000"/>
          <w:lang w:val="en-US" w:eastAsia="en-US"/>
        </w:rPr>
      </w:pPr>
    </w:p>
    <w:p w:rsidR="00563846" w:rsidRDefault="00563846" w:rsidP="00563846">
      <w:pPr>
        <w:spacing w:line="240" w:lineRule="auto"/>
        <w:rPr>
          <w:rFonts w:cs="Times New Roman"/>
          <w:b/>
          <w:bCs/>
          <w:color w:val="000000"/>
          <w:lang w:val="en-US" w:eastAsia="en-US"/>
        </w:rPr>
      </w:pPr>
      <w:r>
        <w:rPr>
          <w:rFonts w:cs="Times New Roman"/>
          <w:b/>
          <w:bCs/>
          <w:color w:val="000000"/>
          <w:lang w:val="en-US" w:eastAsia="en-US"/>
        </w:rPr>
        <w:t>LANGUAGE FOR DECISION FLOW CHART</w:t>
      </w:r>
    </w:p>
    <w:p w:rsidR="00563846" w:rsidRDefault="00563846" w:rsidP="00563846">
      <w:pPr>
        <w:spacing w:line="240" w:lineRule="auto"/>
        <w:rPr>
          <w:rFonts w:cs="Times New Roman"/>
          <w:b/>
          <w:bCs/>
          <w:color w:val="000000"/>
          <w:lang w:val="en-US" w:eastAsia="en-US"/>
        </w:rPr>
      </w:pPr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 xml:space="preserve">Decision Flow Chart - </w:t>
      </w:r>
      <w:proofErr w:type="spellStart"/>
      <w:r w:rsidRPr="00563846">
        <w:rPr>
          <w:rFonts w:cs="Times New Roman"/>
          <w:b/>
          <w:bCs/>
          <w:color w:val="000000"/>
          <w:lang w:val="en-US" w:eastAsia="en-US"/>
        </w:rPr>
        <w:t>Polyhydraminos</w:t>
      </w:r>
      <w:proofErr w:type="spellEnd"/>
      <w:r w:rsidRPr="00563846">
        <w:rPr>
          <w:rFonts w:cs="Times New Roman"/>
          <w:b/>
          <w:bCs/>
          <w:color w:val="000000"/>
          <w:lang w:val="en-US" w:eastAsia="en-US"/>
        </w:rPr>
        <w:t xml:space="preserve"> in late pregnancy</w:t>
      </w:r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 xml:space="preserve">1.COMMUNICATE WITH MEDICAL CARE </w:t>
      </w:r>
      <w:r w:rsidRPr="00563846">
        <w:rPr>
          <w:rFonts w:cs="Times New Roman"/>
          <w:color w:val="000000"/>
          <w:lang w:val="en-US" w:eastAsia="en-US"/>
        </w:rPr>
        <w:t xml:space="preserve">Do AFI levels and fetal </w:t>
      </w:r>
      <w:proofErr w:type="gramStart"/>
      <w:r w:rsidRPr="00563846">
        <w:rPr>
          <w:rFonts w:cs="Times New Roman"/>
          <w:color w:val="000000"/>
          <w:lang w:val="en-US" w:eastAsia="en-US"/>
        </w:rPr>
        <w:t>lie</w:t>
      </w:r>
      <w:proofErr w:type="gramEnd"/>
      <w:r w:rsidRPr="00563846">
        <w:rPr>
          <w:rFonts w:cs="Times New Roman"/>
          <w:color w:val="000000"/>
          <w:lang w:val="en-US" w:eastAsia="en-US"/>
        </w:rPr>
        <w:t xml:space="preserve"> present significant concerns in late </w:t>
      </w:r>
      <w:proofErr w:type="spellStart"/>
      <w:r w:rsidRPr="00563846">
        <w:rPr>
          <w:rFonts w:cs="Times New Roman"/>
          <w:color w:val="000000"/>
          <w:lang w:val="en-US" w:eastAsia="en-US"/>
        </w:rPr>
        <w:t>pregnany</w:t>
      </w:r>
      <w:proofErr w:type="spellEnd"/>
      <w:r w:rsidRPr="00563846">
        <w:rPr>
          <w:rFonts w:cs="Times New Roman"/>
          <w:color w:val="000000"/>
          <w:lang w:val="en-US" w:eastAsia="en-US"/>
        </w:rPr>
        <w:t>.</w:t>
      </w:r>
    </w:p>
    <w:p w:rsidR="00563846" w:rsidRPr="00563846" w:rsidRDefault="00563846" w:rsidP="00563846">
      <w:pPr>
        <w:spacing w:line="240" w:lineRule="auto"/>
        <w:ind w:firstLine="720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 xml:space="preserve">YES - </w:t>
      </w:r>
      <w:r w:rsidRPr="00563846">
        <w:rPr>
          <w:rFonts w:cs="Times New Roman"/>
          <w:color w:val="000000"/>
          <w:lang w:val="en-US" w:eastAsia="en-US"/>
        </w:rPr>
        <w:t>Move to Step 3</w:t>
      </w:r>
    </w:p>
    <w:p w:rsidR="00563846" w:rsidRPr="00563846" w:rsidRDefault="00563846" w:rsidP="00563846">
      <w:pPr>
        <w:spacing w:line="240" w:lineRule="auto"/>
        <w:ind w:firstLine="720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 xml:space="preserve">NO - </w:t>
      </w:r>
      <w:r w:rsidRPr="00563846">
        <w:rPr>
          <w:rFonts w:cs="Times New Roman"/>
          <w:color w:val="000000"/>
          <w:lang w:val="en-US" w:eastAsia="en-US"/>
        </w:rPr>
        <w:t>Move to next step </w:t>
      </w:r>
    </w:p>
    <w:p w:rsidR="00563846" w:rsidRDefault="00563846" w:rsidP="00563846">
      <w:pPr>
        <w:spacing w:line="240" w:lineRule="auto"/>
        <w:rPr>
          <w:rFonts w:cs="Times New Roman"/>
          <w:b/>
          <w:bCs/>
          <w:color w:val="000000"/>
          <w:lang w:val="en-US" w:eastAsia="en-US"/>
        </w:rPr>
      </w:pPr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 xml:space="preserve">2. DOCUMENT </w:t>
      </w:r>
      <w:proofErr w:type="spellStart"/>
      <w:r w:rsidRPr="00563846">
        <w:rPr>
          <w:rFonts w:cs="Times New Roman"/>
          <w:color w:val="000000"/>
          <w:lang w:val="en-US" w:eastAsia="en-US"/>
        </w:rPr>
        <w:t>Document</w:t>
      </w:r>
      <w:proofErr w:type="spellEnd"/>
      <w:r w:rsidRPr="00563846">
        <w:rPr>
          <w:rFonts w:cs="Times New Roman"/>
          <w:color w:val="000000"/>
          <w:lang w:val="en-US" w:eastAsia="en-US"/>
        </w:rPr>
        <w:t xml:space="preserve"> your communication with primary medical care.  Move to Step 4.</w:t>
      </w:r>
    </w:p>
    <w:p w:rsidR="00563846" w:rsidRDefault="00563846" w:rsidP="00563846">
      <w:pPr>
        <w:spacing w:line="240" w:lineRule="auto"/>
        <w:rPr>
          <w:rFonts w:cs="Times New Roman"/>
          <w:b/>
          <w:bCs/>
          <w:color w:val="000000"/>
          <w:lang w:val="en-US" w:eastAsia="en-US"/>
        </w:rPr>
      </w:pPr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>3. AVOID OUT OF HOSPITAL TREATMENT FOR LABOR PREPARATION </w:t>
      </w:r>
    </w:p>
    <w:p w:rsidR="00563846" w:rsidRDefault="00563846" w:rsidP="00563846">
      <w:pPr>
        <w:spacing w:line="240" w:lineRule="auto"/>
        <w:rPr>
          <w:rFonts w:cs="Times New Roman"/>
          <w:b/>
          <w:bCs/>
          <w:color w:val="000000"/>
          <w:lang w:val="en-US" w:eastAsia="en-US"/>
        </w:rPr>
      </w:pPr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 xml:space="preserve">4. APPROPRIATE TREATMENT </w:t>
      </w:r>
      <w:r w:rsidRPr="00563846">
        <w:rPr>
          <w:rFonts w:cs="Times New Roman"/>
          <w:color w:val="000000"/>
          <w:lang w:val="en-US" w:eastAsia="en-US"/>
        </w:rPr>
        <w:t>Create a treatment plan that does not increase risk factors.</w:t>
      </w:r>
    </w:p>
    <w:p w:rsidR="00563846" w:rsidRDefault="00563846" w:rsidP="00563846">
      <w:pPr>
        <w:spacing w:line="240" w:lineRule="auto"/>
        <w:rPr>
          <w:rFonts w:cs="Times New Roman"/>
          <w:b/>
          <w:bCs/>
          <w:color w:val="000000"/>
          <w:lang w:val="en-US" w:eastAsia="en-US"/>
        </w:rPr>
      </w:pPr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 xml:space="preserve">5. </w:t>
      </w:r>
      <w:proofErr w:type="gramStart"/>
      <w:r w:rsidRPr="00563846">
        <w:rPr>
          <w:rFonts w:cs="Times New Roman"/>
          <w:b/>
          <w:bCs/>
          <w:color w:val="000000"/>
          <w:lang w:val="en-US" w:eastAsia="en-US"/>
        </w:rPr>
        <w:t>BE</w:t>
      </w:r>
      <w:proofErr w:type="gramEnd"/>
      <w:r w:rsidRPr="00563846">
        <w:rPr>
          <w:rFonts w:cs="Times New Roman"/>
          <w:b/>
          <w:bCs/>
          <w:color w:val="000000"/>
          <w:lang w:val="en-US" w:eastAsia="en-US"/>
        </w:rPr>
        <w:t xml:space="preserve"> INFORMED AND PROFESSIONALLY SAFE </w:t>
      </w:r>
      <w:r w:rsidRPr="00563846">
        <w:rPr>
          <w:rFonts w:cs="Times New Roman"/>
          <w:color w:val="000000"/>
          <w:lang w:val="en-US" w:eastAsia="en-US"/>
        </w:rPr>
        <w:t>Ensure provide appropriate information, treatment and follow up.</w:t>
      </w:r>
    </w:p>
    <w:p w:rsidR="00563846" w:rsidRPr="00563846" w:rsidRDefault="00563846" w:rsidP="00563846">
      <w:pPr>
        <w:rPr>
          <w:rFonts w:ascii="Times" w:hAnsi="Times"/>
          <w:sz w:val="20"/>
          <w:szCs w:val="20"/>
          <w:lang w:val="en-US" w:eastAsia="en-US"/>
        </w:rPr>
      </w:pPr>
    </w:p>
    <w:p w:rsidR="00563846" w:rsidRPr="00563846" w:rsidRDefault="00563846" w:rsidP="00563846">
      <w:pPr>
        <w:spacing w:line="240" w:lineRule="auto"/>
        <w:rPr>
          <w:rFonts w:ascii="Times" w:hAnsi="Times" w:cs="Times New Roman"/>
          <w:sz w:val="20"/>
          <w:szCs w:val="20"/>
          <w:lang w:val="en-US" w:eastAsia="en-US"/>
        </w:rPr>
      </w:pPr>
      <w:r w:rsidRPr="00563846">
        <w:rPr>
          <w:rFonts w:cs="Times New Roman"/>
          <w:b/>
          <w:bCs/>
          <w:color w:val="000000"/>
          <w:lang w:val="en-US" w:eastAsia="en-US"/>
        </w:rPr>
        <w:t>Appropriate documentation for professional safety &amp; when presenting as case history</w:t>
      </w:r>
    </w:p>
    <w:p w:rsidR="00563846" w:rsidRPr="00563846" w:rsidRDefault="00563846" w:rsidP="00563846">
      <w:pPr>
        <w:numPr>
          <w:ilvl w:val="0"/>
          <w:numId w:val="3"/>
        </w:numPr>
        <w:spacing w:line="240" w:lineRule="auto"/>
        <w:textAlignment w:val="baseline"/>
        <w:rPr>
          <w:rFonts w:cs="Times New Roman"/>
          <w:color w:val="00000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>Gestational age in weeks and pregnancy history -(number of pregnancies and live births)</w:t>
      </w:r>
    </w:p>
    <w:p w:rsidR="00563846" w:rsidRPr="00563846" w:rsidRDefault="00563846" w:rsidP="00563846">
      <w:pPr>
        <w:numPr>
          <w:ilvl w:val="0"/>
          <w:numId w:val="3"/>
        </w:numPr>
        <w:spacing w:line="240" w:lineRule="auto"/>
        <w:textAlignment w:val="baseline"/>
        <w:rPr>
          <w:rFonts w:cs="Times New Roman"/>
          <w:color w:val="00000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>Any risk factors of concern/contraindications</w:t>
      </w:r>
    </w:p>
    <w:p w:rsidR="00563846" w:rsidRPr="00563846" w:rsidRDefault="00563846" w:rsidP="00563846">
      <w:pPr>
        <w:numPr>
          <w:ilvl w:val="0"/>
          <w:numId w:val="3"/>
        </w:numPr>
        <w:spacing w:line="240" w:lineRule="auto"/>
        <w:textAlignment w:val="baseline"/>
        <w:rPr>
          <w:rFonts w:cs="Times New Roman"/>
          <w:color w:val="00000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 xml:space="preserve">Test </w:t>
      </w:r>
      <w:proofErr w:type="spellStart"/>
      <w:r w:rsidRPr="00563846">
        <w:rPr>
          <w:rFonts w:cs="Times New Roman"/>
          <w:color w:val="000000"/>
          <w:lang w:val="en-US" w:eastAsia="en-US"/>
        </w:rPr>
        <w:t>restults</w:t>
      </w:r>
      <w:proofErr w:type="spellEnd"/>
      <w:r w:rsidRPr="00563846">
        <w:rPr>
          <w:rFonts w:cs="Times New Roman"/>
          <w:color w:val="000000"/>
          <w:lang w:val="en-US" w:eastAsia="en-US"/>
        </w:rPr>
        <w:t xml:space="preserve"> for AFI and documentation of last known fetal presentation</w:t>
      </w:r>
    </w:p>
    <w:p w:rsidR="00563846" w:rsidRPr="00563846" w:rsidRDefault="00563846" w:rsidP="00563846">
      <w:pPr>
        <w:numPr>
          <w:ilvl w:val="0"/>
          <w:numId w:val="3"/>
        </w:numPr>
        <w:spacing w:line="240" w:lineRule="auto"/>
        <w:textAlignment w:val="baseline"/>
        <w:rPr>
          <w:rFonts w:cs="Times New Roman"/>
          <w:color w:val="00000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>Medical monitoring and management plan for late pregnancy, labor and birth</w:t>
      </w:r>
    </w:p>
    <w:p w:rsidR="00563846" w:rsidRPr="00563846" w:rsidRDefault="00563846" w:rsidP="00563846">
      <w:pPr>
        <w:numPr>
          <w:ilvl w:val="0"/>
          <w:numId w:val="3"/>
        </w:numPr>
        <w:spacing w:line="240" w:lineRule="auto"/>
        <w:textAlignment w:val="baseline"/>
        <w:rPr>
          <w:rFonts w:cs="Times New Roman"/>
          <w:color w:val="00000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>Your diagnosis and treatment plan</w:t>
      </w:r>
    </w:p>
    <w:p w:rsidR="00563846" w:rsidRPr="00563846" w:rsidRDefault="00563846" w:rsidP="00563846">
      <w:pPr>
        <w:numPr>
          <w:ilvl w:val="0"/>
          <w:numId w:val="3"/>
        </w:numPr>
        <w:spacing w:line="240" w:lineRule="auto"/>
        <w:textAlignment w:val="baseline"/>
        <w:rPr>
          <w:rFonts w:cs="Times New Roman"/>
          <w:color w:val="000000"/>
          <w:lang w:val="en-US" w:eastAsia="en-US"/>
        </w:rPr>
      </w:pPr>
      <w:r w:rsidRPr="00563846">
        <w:rPr>
          <w:rFonts w:cs="Times New Roman"/>
          <w:color w:val="000000"/>
          <w:lang w:val="en-US" w:eastAsia="en-US"/>
        </w:rPr>
        <w:t>Continuing communication with primary medical caregiver, as appropriate.</w:t>
      </w:r>
    </w:p>
    <w:p w:rsidR="008C736D" w:rsidRPr="008C736D" w:rsidRDefault="008C736D" w:rsidP="001D4DC7">
      <w:pPr>
        <w:rPr>
          <w:rFonts w:asciiTheme="majorHAnsi" w:hAnsiTheme="majorHAnsi" w:cstheme="majorHAnsi"/>
          <w:color w:val="1155CC"/>
          <w:sz w:val="18"/>
          <w:szCs w:val="18"/>
          <w:u w:val="single"/>
        </w:rPr>
      </w:pPr>
    </w:p>
    <w:sectPr w:rsidR="008C736D" w:rsidRPr="008C736D" w:rsidSect="00AE7D0A">
      <w:footerReference w:type="default" r:id="rId14"/>
      <w:pgSz w:w="11909" w:h="16834"/>
      <w:pgMar w:top="0" w:right="1133" w:bottom="0" w:left="1133" w:header="0" w:footer="566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307DB" w:rsidRDefault="00B307DB">
      <w:pPr>
        <w:spacing w:line="240" w:lineRule="auto"/>
      </w:pPr>
      <w:r>
        <w:separator/>
      </w:r>
    </w:p>
  </w:endnote>
  <w:endnote w:type="continuationSeparator" w:id="1">
    <w:p w:rsidR="00B307DB" w:rsidRDefault="00B3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07A5" w:rsidRPr="000E157F" w:rsidRDefault="00053ACD">
    <w:pPr>
      <w:keepLines/>
      <w:widowControl w:val="0"/>
      <w:spacing w:line="240" w:lineRule="auto"/>
      <w:jc w:val="center"/>
      <w:rPr>
        <w:rFonts w:asciiTheme="majorHAnsi" w:hAnsiTheme="majorHAnsi"/>
        <w:sz w:val="18"/>
        <w:szCs w:val="18"/>
      </w:rPr>
    </w:pPr>
    <w:r w:rsidRPr="000E157F">
      <w:rPr>
        <w:rFonts w:asciiTheme="majorHAnsi" w:hAnsiTheme="majorHAnsi"/>
        <w:sz w:val="18"/>
        <w:szCs w:val="18"/>
      </w:rPr>
      <w:t>Prepared by MAMPS working group 202</w:t>
    </w:r>
    <w:r w:rsidR="00203993">
      <w:rPr>
        <w:rFonts w:asciiTheme="majorHAnsi" w:hAnsiTheme="majorHAnsi"/>
        <w:sz w:val="18"/>
        <w:szCs w:val="18"/>
      </w:rPr>
      <w:t>1</w:t>
    </w:r>
    <w:r w:rsidRPr="000E157F">
      <w:rPr>
        <w:rFonts w:asciiTheme="majorHAnsi" w:hAnsiTheme="majorHAnsi"/>
        <w:sz w:val="18"/>
        <w:szCs w:val="18"/>
      </w:rPr>
      <w:t xml:space="preserve"> </w:t>
    </w:r>
  </w:p>
  <w:p w:rsidR="003443EB" w:rsidRDefault="00053ACD">
    <w:pPr>
      <w:keepLines/>
      <w:widowControl w:val="0"/>
      <w:spacing w:line="240" w:lineRule="auto"/>
      <w:jc w:val="center"/>
      <w:rPr>
        <w:rFonts w:asciiTheme="majorHAnsi" w:hAnsiTheme="majorHAnsi"/>
        <w:sz w:val="18"/>
        <w:szCs w:val="18"/>
      </w:rPr>
    </w:pPr>
    <w:r w:rsidRPr="000E157F">
      <w:rPr>
        <w:rFonts w:asciiTheme="majorHAnsi" w:hAnsiTheme="majorHAnsi"/>
        <w:sz w:val="18"/>
        <w:szCs w:val="18"/>
      </w:rPr>
      <w:t>Contributors. Lead:</w:t>
    </w:r>
    <w:r w:rsidR="00203993">
      <w:rPr>
        <w:rFonts w:asciiTheme="majorHAnsi" w:hAnsiTheme="majorHAnsi"/>
        <w:sz w:val="18"/>
        <w:szCs w:val="18"/>
      </w:rPr>
      <w:t xml:space="preserve"> </w:t>
    </w:r>
    <w:r w:rsidR="003D6C13">
      <w:rPr>
        <w:rFonts w:asciiTheme="majorHAnsi" w:hAnsiTheme="majorHAnsi"/>
        <w:sz w:val="18"/>
        <w:szCs w:val="18"/>
      </w:rPr>
      <w:t>XXXX and YYYYYY</w:t>
    </w:r>
    <w:r w:rsidR="000106A9">
      <w:rPr>
        <w:rFonts w:asciiTheme="majorHAnsi" w:hAnsiTheme="majorHAnsi"/>
        <w:sz w:val="18"/>
        <w:szCs w:val="18"/>
      </w:rPr>
      <w:t xml:space="preserve"> </w:t>
    </w:r>
  </w:p>
  <w:p w:rsidR="00BD07A5" w:rsidRDefault="00053ACD">
    <w:pPr>
      <w:keepLines/>
      <w:widowControl w:val="0"/>
      <w:spacing w:line="240" w:lineRule="auto"/>
      <w:jc w:val="center"/>
      <w:rPr>
        <w:sz w:val="20"/>
        <w:szCs w:val="20"/>
      </w:rPr>
    </w:pPr>
    <w:r w:rsidRPr="000E157F">
      <w:rPr>
        <w:rFonts w:asciiTheme="majorHAnsi" w:hAnsiTheme="majorHAnsi"/>
        <w:sz w:val="18"/>
        <w:szCs w:val="18"/>
      </w:rPr>
      <w:t>Co contributors:</w:t>
    </w:r>
    <w:r w:rsidR="003443EB">
      <w:rPr>
        <w:rFonts w:asciiTheme="majorHAnsi" w:hAnsiTheme="majorHAnsi"/>
        <w:sz w:val="18"/>
        <w:szCs w:val="18"/>
      </w:rPr>
      <w:t xml:space="preserve"> </w:t>
    </w:r>
    <w:r w:rsidR="003D6C13">
      <w:rPr>
        <w:rFonts w:asciiTheme="majorHAnsi" w:hAnsiTheme="majorHAnsi"/>
        <w:sz w:val="18"/>
        <w:szCs w:val="18"/>
      </w:rPr>
      <w:t>Who ever joins in …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307DB" w:rsidRDefault="00B307DB">
      <w:pPr>
        <w:spacing w:line="240" w:lineRule="auto"/>
      </w:pPr>
      <w:r>
        <w:separator/>
      </w:r>
    </w:p>
  </w:footnote>
  <w:footnote w:type="continuationSeparator" w:id="1">
    <w:p w:rsidR="00B307DB" w:rsidRDefault="00B30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200171"/>
    <w:multiLevelType w:val="hybridMultilevel"/>
    <w:tmpl w:val="DA626336"/>
    <w:lvl w:ilvl="0" w:tplc="98265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0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CE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0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4A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2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44547B"/>
    <w:multiLevelType w:val="multilevel"/>
    <w:tmpl w:val="8424D4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Symbo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E51220D"/>
    <w:multiLevelType w:val="multilevel"/>
    <w:tmpl w:val="1CD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D07A5"/>
    <w:rsid w:val="00000DB5"/>
    <w:rsid w:val="00005793"/>
    <w:rsid w:val="000106A9"/>
    <w:rsid w:val="00012F08"/>
    <w:rsid w:val="00053ACD"/>
    <w:rsid w:val="0006086E"/>
    <w:rsid w:val="00084BE2"/>
    <w:rsid w:val="000A0661"/>
    <w:rsid w:val="000A6F66"/>
    <w:rsid w:val="000E157F"/>
    <w:rsid w:val="000E6D66"/>
    <w:rsid w:val="000F3BBD"/>
    <w:rsid w:val="00167BE2"/>
    <w:rsid w:val="001C5571"/>
    <w:rsid w:val="001D0E2A"/>
    <w:rsid w:val="001D4DC7"/>
    <w:rsid w:val="001F3591"/>
    <w:rsid w:val="00203993"/>
    <w:rsid w:val="00205C05"/>
    <w:rsid w:val="00257C8F"/>
    <w:rsid w:val="002660BF"/>
    <w:rsid w:val="00294D64"/>
    <w:rsid w:val="002A52AC"/>
    <w:rsid w:val="002B6F58"/>
    <w:rsid w:val="002D520A"/>
    <w:rsid w:val="00300EB9"/>
    <w:rsid w:val="00302288"/>
    <w:rsid w:val="003330A5"/>
    <w:rsid w:val="003443EB"/>
    <w:rsid w:val="00347DD5"/>
    <w:rsid w:val="003605D9"/>
    <w:rsid w:val="003976B0"/>
    <w:rsid w:val="003B5601"/>
    <w:rsid w:val="003C7775"/>
    <w:rsid w:val="003D2750"/>
    <w:rsid w:val="003D6C13"/>
    <w:rsid w:val="00400707"/>
    <w:rsid w:val="004167F7"/>
    <w:rsid w:val="004214D3"/>
    <w:rsid w:val="00435544"/>
    <w:rsid w:val="00462C1B"/>
    <w:rsid w:val="004D3F6F"/>
    <w:rsid w:val="004F6ADD"/>
    <w:rsid w:val="00517B0E"/>
    <w:rsid w:val="00563846"/>
    <w:rsid w:val="00592343"/>
    <w:rsid w:val="00593A85"/>
    <w:rsid w:val="005C039F"/>
    <w:rsid w:val="005D1078"/>
    <w:rsid w:val="00651D30"/>
    <w:rsid w:val="00655869"/>
    <w:rsid w:val="006B600C"/>
    <w:rsid w:val="006C63F9"/>
    <w:rsid w:val="006D7C6E"/>
    <w:rsid w:val="006F655E"/>
    <w:rsid w:val="00775718"/>
    <w:rsid w:val="00793158"/>
    <w:rsid w:val="007C2F98"/>
    <w:rsid w:val="007C3F53"/>
    <w:rsid w:val="008619F8"/>
    <w:rsid w:val="008C736D"/>
    <w:rsid w:val="008E7A52"/>
    <w:rsid w:val="0090619F"/>
    <w:rsid w:val="009225B6"/>
    <w:rsid w:val="0093456B"/>
    <w:rsid w:val="00950369"/>
    <w:rsid w:val="009721E6"/>
    <w:rsid w:val="009925D9"/>
    <w:rsid w:val="009C15B5"/>
    <w:rsid w:val="009C58BE"/>
    <w:rsid w:val="009E1236"/>
    <w:rsid w:val="009E59B3"/>
    <w:rsid w:val="009F1E9A"/>
    <w:rsid w:val="00A32AEC"/>
    <w:rsid w:val="00A50CA3"/>
    <w:rsid w:val="00A55ED6"/>
    <w:rsid w:val="00AC5675"/>
    <w:rsid w:val="00AD1F6A"/>
    <w:rsid w:val="00AE7D0A"/>
    <w:rsid w:val="00AF3E91"/>
    <w:rsid w:val="00B252F0"/>
    <w:rsid w:val="00B27B19"/>
    <w:rsid w:val="00B307DB"/>
    <w:rsid w:val="00B45CD5"/>
    <w:rsid w:val="00B96325"/>
    <w:rsid w:val="00BB70D0"/>
    <w:rsid w:val="00BD07A5"/>
    <w:rsid w:val="00BF307B"/>
    <w:rsid w:val="00C140C0"/>
    <w:rsid w:val="00C1449E"/>
    <w:rsid w:val="00C16486"/>
    <w:rsid w:val="00C30887"/>
    <w:rsid w:val="00C355A0"/>
    <w:rsid w:val="00C72337"/>
    <w:rsid w:val="00C74D86"/>
    <w:rsid w:val="00C82027"/>
    <w:rsid w:val="00C83368"/>
    <w:rsid w:val="00CB0525"/>
    <w:rsid w:val="00CE3764"/>
    <w:rsid w:val="00D379D9"/>
    <w:rsid w:val="00D722A6"/>
    <w:rsid w:val="00D72FF9"/>
    <w:rsid w:val="00D877D8"/>
    <w:rsid w:val="00DA2643"/>
    <w:rsid w:val="00DB53DC"/>
    <w:rsid w:val="00DC640D"/>
    <w:rsid w:val="00E04652"/>
    <w:rsid w:val="00E24246"/>
    <w:rsid w:val="00E516CF"/>
    <w:rsid w:val="00E54C22"/>
    <w:rsid w:val="00E570AF"/>
    <w:rsid w:val="00E9379D"/>
    <w:rsid w:val="00EE4A9D"/>
    <w:rsid w:val="00EF7BDD"/>
    <w:rsid w:val="00F05054"/>
    <w:rsid w:val="00F30E6E"/>
    <w:rsid w:val="00F96880"/>
    <w:rsid w:val="00FB032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AE7D0A"/>
  </w:style>
  <w:style w:type="paragraph" w:styleId="Heading1">
    <w:name w:val="heading 1"/>
    <w:basedOn w:val="Normal"/>
    <w:next w:val="Normal"/>
    <w:uiPriority w:val="9"/>
    <w:qFormat/>
    <w:rsid w:val="00AE7D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E7D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E7D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E7D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E7D0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E7D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AE7D0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E7D0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5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7F"/>
  </w:style>
  <w:style w:type="paragraph" w:styleId="Footer">
    <w:name w:val="footer"/>
    <w:basedOn w:val="Normal"/>
    <w:link w:val="FooterChar"/>
    <w:uiPriority w:val="99"/>
    <w:unhideWhenUsed/>
    <w:rsid w:val="000E15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7F"/>
  </w:style>
  <w:style w:type="paragraph" w:styleId="NormalWeb">
    <w:name w:val="Normal (Web)"/>
    <w:basedOn w:val="Normal"/>
    <w:uiPriority w:val="99"/>
    <w:unhideWhenUsed/>
    <w:rsid w:val="001D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styleId="Strong">
    <w:name w:val="Strong"/>
    <w:basedOn w:val="DefaultParagraphFont"/>
    <w:uiPriority w:val="22"/>
    <w:qFormat/>
    <w:rsid w:val="00E516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3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73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3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diagramDrawing" Target="diagrams/drawing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D7C1DC-9138-4F23-B448-3E25FAE554D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C90D5EA5-9C34-4609-858F-6B126C13CD50}">
      <dgm:prSet phldrT="[Text]" custT="1"/>
      <dgm:spPr/>
      <dgm:t>
        <a:bodyPr/>
        <a:lstStyle/>
        <a:p>
          <a:r>
            <a:rPr lang="en-GB" sz="1200" b="1"/>
            <a:t>Appropriate </a:t>
          </a:r>
          <a:r>
            <a:rPr lang="en-GB" sz="1200" b="1">
              <a:effectLst/>
            </a:rPr>
            <a:t>documentation for professional safety </a:t>
          </a:r>
        </a:p>
        <a:p>
          <a:r>
            <a:rPr lang="en-GB" sz="1200" b="1">
              <a:effectLst/>
            </a:rPr>
            <a:t>&amp; </a:t>
          </a:r>
        </a:p>
        <a:p>
          <a:r>
            <a:rPr lang="en-GB" sz="1200" b="1">
              <a:effectLst/>
            </a:rPr>
            <a:t>when presenting as case history</a:t>
          </a:r>
          <a:endParaRPr lang="en-NZ" sz="1200">
            <a:effectLst/>
          </a:endParaRPr>
        </a:p>
      </dgm:t>
    </dgm:pt>
    <dgm:pt modelId="{82B1786D-2A67-4FFD-ADA3-74A59A538FD3}" type="sibTrans" cxnId="{3D9DE8DA-72A5-42EC-9541-B35E0FB61686}">
      <dgm:prSet/>
      <dgm:spPr/>
      <dgm:t>
        <a:bodyPr/>
        <a:lstStyle/>
        <a:p>
          <a:endParaRPr lang="en-NZ">
            <a:effectLst/>
          </a:endParaRPr>
        </a:p>
      </dgm:t>
    </dgm:pt>
    <dgm:pt modelId="{5AF51C3C-D59A-4653-972E-FDAA9AF6F342}" type="parTrans" cxnId="{3D9DE8DA-72A5-42EC-9541-B35E0FB61686}">
      <dgm:prSet/>
      <dgm:spPr/>
      <dgm:t>
        <a:bodyPr/>
        <a:lstStyle/>
        <a:p>
          <a:endParaRPr lang="en-NZ">
            <a:effectLst/>
          </a:endParaRPr>
        </a:p>
      </dgm:t>
    </dgm:pt>
    <dgm:pt modelId="{74262D80-F888-40B4-8DDA-244CF729F3F5}">
      <dgm:prSet phldrT="[Text]"/>
      <dgm:spPr/>
      <dgm:t>
        <a:bodyPr/>
        <a:lstStyle/>
        <a:p>
          <a:r>
            <a:rPr lang="en-GB">
              <a:effectLst/>
            </a:rPr>
            <a:t>Gestational age in weeks and pregnancy history -(number of pregnancies and live births) </a:t>
          </a:r>
          <a:endParaRPr lang="en-NZ">
            <a:effectLst/>
          </a:endParaRPr>
        </a:p>
      </dgm:t>
    </dgm:pt>
    <dgm:pt modelId="{C6BE28D3-A523-47B6-B14C-F7040D9145DB}" type="sibTrans" cxnId="{B293821A-C2AD-4E3C-A900-A01A7D7A3610}">
      <dgm:prSet/>
      <dgm:spPr/>
      <dgm:t>
        <a:bodyPr/>
        <a:lstStyle/>
        <a:p>
          <a:endParaRPr lang="en-NZ">
            <a:effectLst/>
          </a:endParaRPr>
        </a:p>
      </dgm:t>
    </dgm:pt>
    <dgm:pt modelId="{09DF5D51-A0B7-4AE1-B2A5-496A7400EB21}" type="parTrans" cxnId="{B293821A-C2AD-4E3C-A900-A01A7D7A3610}">
      <dgm:prSet/>
      <dgm:spPr/>
      <dgm:t>
        <a:bodyPr/>
        <a:lstStyle/>
        <a:p>
          <a:endParaRPr lang="en-NZ">
            <a:effectLst/>
          </a:endParaRPr>
        </a:p>
      </dgm:t>
    </dgm:pt>
    <dgm:pt modelId="{2406A613-C197-42D4-8519-B44C261CF0E9}">
      <dgm:prSet/>
      <dgm:spPr/>
      <dgm:t>
        <a:bodyPr/>
        <a:lstStyle/>
        <a:p>
          <a:r>
            <a:rPr lang="en-NZ"/>
            <a:t>Medical management plan (Blah Blah Blah  </a:t>
          </a:r>
          <a:endParaRPr lang="en-NZ">
            <a:effectLst/>
          </a:endParaRPr>
        </a:p>
      </dgm:t>
    </dgm:pt>
    <dgm:pt modelId="{61329BC5-1FA9-4632-BB29-7ED7E20FB6F2}" type="sibTrans" cxnId="{9F5FC3B4-F404-4A96-AA7F-84799524B7B8}">
      <dgm:prSet/>
      <dgm:spPr/>
      <dgm:t>
        <a:bodyPr/>
        <a:lstStyle/>
        <a:p>
          <a:endParaRPr lang="en-NZ"/>
        </a:p>
      </dgm:t>
    </dgm:pt>
    <dgm:pt modelId="{BC9A0FD2-7496-400A-95B3-EC18C0606019}" type="parTrans" cxnId="{9F5FC3B4-F404-4A96-AA7F-84799524B7B8}">
      <dgm:prSet/>
      <dgm:spPr/>
      <dgm:t>
        <a:bodyPr/>
        <a:lstStyle/>
        <a:p>
          <a:endParaRPr lang="en-NZ"/>
        </a:p>
      </dgm:t>
    </dgm:pt>
    <dgm:pt modelId="{137A9627-9EF7-44F8-AB41-2239B87BDFE4}">
      <dgm:prSet/>
      <dgm:spPr/>
      <dgm:t>
        <a:bodyPr/>
        <a:lstStyle/>
        <a:p>
          <a:r>
            <a:rPr lang="en-GB">
              <a:effectLst/>
            </a:rPr>
            <a:t>Any risk factors of concern/</a:t>
          </a:r>
          <a:r>
            <a:rPr lang="en-GB"/>
            <a:t>contraindications</a:t>
          </a:r>
          <a:endParaRPr lang="en-NZ">
            <a:effectLst/>
          </a:endParaRPr>
        </a:p>
      </dgm:t>
    </dgm:pt>
    <dgm:pt modelId="{D75C56E8-D241-4202-A6D3-9B040AD912C5}" type="sibTrans" cxnId="{F3C2EA1A-7DCE-4D85-8BE5-F8AC453056C0}">
      <dgm:prSet/>
      <dgm:spPr/>
      <dgm:t>
        <a:bodyPr/>
        <a:lstStyle/>
        <a:p>
          <a:endParaRPr lang="en-NZ">
            <a:effectLst/>
          </a:endParaRPr>
        </a:p>
      </dgm:t>
    </dgm:pt>
    <dgm:pt modelId="{5001463E-2488-4037-9529-E191040D7F04}" type="parTrans" cxnId="{F3C2EA1A-7DCE-4D85-8BE5-F8AC453056C0}">
      <dgm:prSet/>
      <dgm:spPr/>
      <dgm:t>
        <a:bodyPr/>
        <a:lstStyle/>
        <a:p>
          <a:endParaRPr lang="en-NZ">
            <a:effectLst/>
          </a:endParaRPr>
        </a:p>
      </dgm:t>
    </dgm:pt>
    <dgm:pt modelId="{60669904-2544-4092-93D9-912345AB37EE}">
      <dgm:prSet/>
      <dgm:spPr/>
      <dgm:t>
        <a:bodyPr/>
        <a:lstStyle/>
        <a:p>
          <a:endParaRPr lang="en-NZ">
            <a:effectLst/>
          </a:endParaRPr>
        </a:p>
      </dgm:t>
    </dgm:pt>
    <dgm:pt modelId="{628EAF64-6F76-4562-A77C-40E2E97F270A}" type="sibTrans" cxnId="{BDA697B1-A1C8-4C60-9FDD-F888019CCE3F}">
      <dgm:prSet/>
      <dgm:spPr/>
      <dgm:t>
        <a:bodyPr/>
        <a:lstStyle/>
        <a:p>
          <a:endParaRPr lang="en-NZ"/>
        </a:p>
      </dgm:t>
    </dgm:pt>
    <dgm:pt modelId="{656BA17F-AAAB-4E35-8DA0-52073CBE1F4F}" type="parTrans" cxnId="{BDA697B1-A1C8-4C60-9FDD-F888019CCE3F}">
      <dgm:prSet/>
      <dgm:spPr/>
      <dgm:t>
        <a:bodyPr/>
        <a:lstStyle/>
        <a:p>
          <a:endParaRPr lang="en-NZ"/>
        </a:p>
      </dgm:t>
    </dgm:pt>
    <dgm:pt modelId="{B4585458-0C6D-4B5B-894F-19EDDD3CA9F5}">
      <dgm:prSet/>
      <dgm:spPr/>
      <dgm:t>
        <a:bodyPr/>
        <a:lstStyle/>
        <a:p>
          <a:r>
            <a:rPr lang="en-NZ"/>
            <a:t>If medical risk factors - your communication with primary medical caregiver before offering treatment </a:t>
          </a:r>
          <a:r>
            <a:rPr lang="en-GB"/>
            <a:t>for Blah .</a:t>
          </a:r>
          <a:endParaRPr lang="en-NZ">
            <a:effectLst/>
          </a:endParaRPr>
        </a:p>
      </dgm:t>
    </dgm:pt>
    <dgm:pt modelId="{B32EA52B-0522-4E04-9EF4-1987FDF4680C}" type="sibTrans" cxnId="{2EC0F1AB-DBFE-41B9-B6EA-678322F06244}">
      <dgm:prSet/>
      <dgm:spPr/>
      <dgm:t>
        <a:bodyPr/>
        <a:lstStyle/>
        <a:p>
          <a:endParaRPr lang="en-NZ"/>
        </a:p>
      </dgm:t>
    </dgm:pt>
    <dgm:pt modelId="{B485A2DA-9EDF-4080-AA97-E329FDE4A989}" type="parTrans" cxnId="{2EC0F1AB-DBFE-41B9-B6EA-678322F06244}">
      <dgm:prSet/>
      <dgm:spPr/>
      <dgm:t>
        <a:bodyPr/>
        <a:lstStyle/>
        <a:p>
          <a:endParaRPr lang="en-NZ"/>
        </a:p>
      </dgm:t>
    </dgm:pt>
    <dgm:pt modelId="{35FC7CD4-9E61-4FB2-96B9-405D73A7C2D3}">
      <dgm:prSet/>
      <dgm:spPr/>
      <dgm:t>
        <a:bodyPr/>
        <a:lstStyle/>
        <a:p>
          <a:r>
            <a:rPr lang="en-GB"/>
            <a:t>Your diagnosis and treatment plan</a:t>
          </a:r>
          <a:endParaRPr lang="en-NZ">
            <a:effectLst/>
          </a:endParaRPr>
        </a:p>
      </dgm:t>
    </dgm:pt>
    <dgm:pt modelId="{6A643DBF-83B2-43AC-810F-2260A83706E2}" type="sibTrans" cxnId="{B18545D8-F9B4-45FA-B379-1420A9004DC9}">
      <dgm:prSet/>
      <dgm:spPr/>
      <dgm:t>
        <a:bodyPr/>
        <a:lstStyle/>
        <a:p>
          <a:endParaRPr lang="en-NZ"/>
        </a:p>
      </dgm:t>
    </dgm:pt>
    <dgm:pt modelId="{8CC85F21-8436-41C1-B05A-00456E0020A0}" type="parTrans" cxnId="{B18545D8-F9B4-45FA-B379-1420A9004DC9}">
      <dgm:prSet/>
      <dgm:spPr/>
      <dgm:t>
        <a:bodyPr/>
        <a:lstStyle/>
        <a:p>
          <a:endParaRPr lang="en-NZ"/>
        </a:p>
      </dgm:t>
    </dgm:pt>
    <dgm:pt modelId="{45A83412-DA8A-43B7-BC21-3B0BE385E712}">
      <dgm:prSet/>
      <dgm:spPr/>
      <dgm:t>
        <a:bodyPr/>
        <a:lstStyle/>
        <a:p>
          <a:endParaRPr lang="en-NZ">
            <a:effectLst/>
          </a:endParaRPr>
        </a:p>
      </dgm:t>
    </dgm:pt>
    <dgm:pt modelId="{E62E0FE2-BB96-4BDB-B7AF-5669AB15849C}" type="sibTrans" cxnId="{28DEB414-BC5D-4786-9916-0DEDCA29D172}">
      <dgm:prSet/>
      <dgm:spPr/>
      <dgm:t>
        <a:bodyPr/>
        <a:lstStyle/>
        <a:p>
          <a:endParaRPr lang="en-NZ"/>
        </a:p>
      </dgm:t>
    </dgm:pt>
    <dgm:pt modelId="{63043309-56C7-41B9-81AE-CAB67E6B479C}" type="parTrans" cxnId="{28DEB414-BC5D-4786-9916-0DEDCA29D172}">
      <dgm:prSet/>
      <dgm:spPr/>
      <dgm:t>
        <a:bodyPr/>
        <a:lstStyle/>
        <a:p>
          <a:endParaRPr lang="en-NZ"/>
        </a:p>
      </dgm:t>
    </dgm:pt>
    <dgm:pt modelId="{76B275FD-74FC-4B0D-9D79-D13897A43ADE}">
      <dgm:prSet/>
      <dgm:spPr/>
      <dgm:t>
        <a:bodyPr/>
        <a:lstStyle/>
        <a:p>
          <a:r>
            <a:rPr lang="en-GB"/>
            <a:t>Continuing communication with primary medical caregiver, as appropriate.</a:t>
          </a:r>
          <a:endParaRPr lang="en-NZ" b="1">
            <a:effectLst/>
          </a:endParaRPr>
        </a:p>
      </dgm:t>
    </dgm:pt>
    <dgm:pt modelId="{7AA9EC8E-48F3-4B29-BB2B-74A0A8B21601}" type="sibTrans" cxnId="{E17F571A-3E58-4EC6-9203-8CE8DCC8BD9F}">
      <dgm:prSet/>
      <dgm:spPr/>
      <dgm:t>
        <a:bodyPr/>
        <a:lstStyle/>
        <a:p>
          <a:endParaRPr lang="en-NZ"/>
        </a:p>
      </dgm:t>
    </dgm:pt>
    <dgm:pt modelId="{D290B2AC-67BB-4B39-97C4-7C1AC726D40B}" type="parTrans" cxnId="{E17F571A-3E58-4EC6-9203-8CE8DCC8BD9F}">
      <dgm:prSet/>
      <dgm:spPr/>
      <dgm:t>
        <a:bodyPr/>
        <a:lstStyle/>
        <a:p>
          <a:endParaRPr lang="en-NZ"/>
        </a:p>
      </dgm:t>
    </dgm:pt>
    <dgm:pt modelId="{64F7E396-8D5D-4593-B211-BEDE2D3B7DFB}">
      <dgm:prSet/>
      <dgm:spPr/>
      <dgm:t>
        <a:bodyPr/>
        <a:lstStyle/>
        <a:p>
          <a:endParaRPr lang="en-NZ">
            <a:effectLst/>
          </a:endParaRPr>
        </a:p>
      </dgm:t>
    </dgm:pt>
    <dgm:pt modelId="{01D9AB8F-39ED-4E07-8B9D-6044605CDE38}" type="sibTrans" cxnId="{B3917278-3910-4CAE-8C09-A7733C061DE9}">
      <dgm:prSet/>
      <dgm:spPr/>
      <dgm:t>
        <a:bodyPr/>
        <a:lstStyle/>
        <a:p>
          <a:endParaRPr lang="en-NZ"/>
        </a:p>
      </dgm:t>
    </dgm:pt>
    <dgm:pt modelId="{E35A6C4C-7265-4394-9736-CE5403EBE56F}" type="parTrans" cxnId="{B3917278-3910-4CAE-8C09-A7733C061DE9}">
      <dgm:prSet/>
      <dgm:spPr/>
      <dgm:t>
        <a:bodyPr/>
        <a:lstStyle/>
        <a:p>
          <a:endParaRPr lang="en-NZ"/>
        </a:p>
      </dgm:t>
    </dgm:pt>
    <dgm:pt modelId="{8D0F52C8-1FE2-4D12-9901-5F1D48FA1ECE}">
      <dgm:prSet/>
      <dgm:spPr/>
      <dgm:t>
        <a:bodyPr/>
        <a:lstStyle/>
        <a:p>
          <a:endParaRPr lang="en-NZ">
            <a:effectLst/>
          </a:endParaRPr>
        </a:p>
      </dgm:t>
    </dgm:pt>
    <dgm:pt modelId="{66FA5843-A58F-4FC8-8520-07ADEAC07DF8}" type="sibTrans" cxnId="{5AB06698-2248-42C5-8603-B4BC25D67A20}">
      <dgm:prSet/>
      <dgm:spPr/>
      <dgm:t>
        <a:bodyPr/>
        <a:lstStyle/>
        <a:p>
          <a:endParaRPr lang="en-NZ"/>
        </a:p>
      </dgm:t>
    </dgm:pt>
    <dgm:pt modelId="{08B596CD-BC88-4B6F-99AD-1B45C9CEAAB8}" type="parTrans" cxnId="{5AB06698-2248-42C5-8603-B4BC25D67A20}">
      <dgm:prSet/>
      <dgm:spPr/>
      <dgm:t>
        <a:bodyPr/>
        <a:lstStyle/>
        <a:p>
          <a:endParaRPr lang="en-NZ"/>
        </a:p>
      </dgm:t>
    </dgm:pt>
    <dgm:pt modelId="{70CD0513-FE56-4B0C-B53A-15CA9FE167E5}">
      <dgm:prSet/>
      <dgm:spPr/>
      <dgm:t>
        <a:bodyPr/>
        <a:lstStyle/>
        <a:p>
          <a:endParaRPr lang="en-NZ"/>
        </a:p>
      </dgm:t>
    </dgm:pt>
    <dgm:pt modelId="{CA91A798-07B8-417A-8E06-EF0155C2E3D6}" type="sibTrans" cxnId="{6CD5E3F0-8C90-43CB-B4C4-762BB7A1FEBD}">
      <dgm:prSet/>
      <dgm:spPr/>
      <dgm:t>
        <a:bodyPr/>
        <a:lstStyle/>
        <a:p>
          <a:endParaRPr lang="en-NZ"/>
        </a:p>
      </dgm:t>
    </dgm:pt>
    <dgm:pt modelId="{DBE8CB02-EAC7-4ED1-B7BE-F0017C0E8E0F}" type="parTrans" cxnId="{6CD5E3F0-8C90-43CB-B4C4-762BB7A1FEBD}">
      <dgm:prSet/>
      <dgm:spPr/>
      <dgm:t>
        <a:bodyPr/>
        <a:lstStyle/>
        <a:p>
          <a:endParaRPr lang="en-NZ"/>
        </a:p>
      </dgm:t>
    </dgm:pt>
    <dgm:pt modelId="{1FEB1B38-B122-4F1C-AB77-C0966C82E5AF}">
      <dgm:prSet/>
      <dgm:spPr/>
      <dgm:t>
        <a:bodyPr/>
        <a:lstStyle/>
        <a:p>
          <a:endParaRPr lang="en-NZ">
            <a:effectLst/>
          </a:endParaRPr>
        </a:p>
      </dgm:t>
    </dgm:pt>
    <dgm:pt modelId="{F3356681-409A-419F-B70A-0FC9DCC919ED}" type="parTrans" cxnId="{0A6B45E8-364B-47A6-BB89-5A1F33A16908}">
      <dgm:prSet/>
      <dgm:spPr/>
      <dgm:t>
        <a:bodyPr/>
        <a:lstStyle/>
        <a:p>
          <a:endParaRPr lang="en-NZ"/>
        </a:p>
      </dgm:t>
    </dgm:pt>
    <dgm:pt modelId="{A232D779-5FC8-4B6D-B7F3-F0C053C33765}" type="sibTrans" cxnId="{0A6B45E8-364B-47A6-BB89-5A1F33A16908}">
      <dgm:prSet/>
      <dgm:spPr/>
      <dgm:t>
        <a:bodyPr/>
        <a:lstStyle/>
        <a:p>
          <a:endParaRPr lang="en-NZ"/>
        </a:p>
      </dgm:t>
    </dgm:pt>
    <dgm:pt modelId="{6EFE7E71-11FD-43BA-B125-711C9B7170A4}">
      <dgm:prSet/>
      <dgm:spPr/>
      <dgm:t>
        <a:bodyPr/>
        <a:lstStyle/>
        <a:p>
          <a:endParaRPr lang="en-NZ">
            <a:effectLst/>
          </a:endParaRPr>
        </a:p>
      </dgm:t>
    </dgm:pt>
    <dgm:pt modelId="{03D0EE3A-B351-46B1-8615-60E91E8E652C}" type="parTrans" cxnId="{B555B0A7-139A-4492-A601-6B2C14C62D71}">
      <dgm:prSet/>
      <dgm:spPr/>
      <dgm:t>
        <a:bodyPr/>
        <a:lstStyle/>
        <a:p>
          <a:endParaRPr lang="en-NZ"/>
        </a:p>
      </dgm:t>
    </dgm:pt>
    <dgm:pt modelId="{0E39FEBE-384D-4E6B-85E4-E482097B29E1}" type="sibTrans" cxnId="{B555B0A7-139A-4492-A601-6B2C14C62D71}">
      <dgm:prSet/>
      <dgm:spPr/>
      <dgm:t>
        <a:bodyPr/>
        <a:lstStyle/>
        <a:p>
          <a:endParaRPr lang="en-NZ"/>
        </a:p>
      </dgm:t>
    </dgm:pt>
    <dgm:pt modelId="{780E8BD3-D214-451F-AB99-EF5DEE88CAAC}" type="pres">
      <dgm:prSet presAssocID="{DCD7C1DC-9138-4F23-B448-3E25FAE554D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C0608ED-9295-48B7-B2F5-6A2B6382F393}" type="pres">
      <dgm:prSet presAssocID="{C90D5EA5-9C34-4609-858F-6B126C13CD50}" presName="composite" presStyleCnt="0"/>
      <dgm:spPr/>
    </dgm:pt>
    <dgm:pt modelId="{9D63F7D9-C42A-4239-996E-3DD3D29C76B0}" type="pres">
      <dgm:prSet presAssocID="{C90D5EA5-9C34-4609-858F-6B126C13CD50}" presName="parentText" presStyleLbl="alignNode1" presStyleIdx="0" presStyleCnt="1" custScaleY="19316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AB7AD2-7E83-4B8D-B350-2ED5FDDC2596}" type="pres">
      <dgm:prSet presAssocID="{C90D5EA5-9C34-4609-858F-6B126C13CD50}" presName="descendantText" presStyleLbl="alignAcc1" presStyleIdx="0" presStyleCnt="1" custScaleY="2117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A159E76-2F29-4394-B5E6-B4CF45861503}" type="presOf" srcId="{64F7E396-8D5D-4593-B211-BEDE2D3B7DFB}" destId="{C0AB7AD2-7E83-4B8D-B350-2ED5FDDC2596}" srcOrd="0" destOrd="11" presId="urn:microsoft.com/office/officeart/2005/8/layout/chevron2"/>
    <dgm:cxn modelId="{DC8EE928-8286-4CA1-B0A6-B3FA2C8A3C63}" type="presOf" srcId="{137A9627-9EF7-44F8-AB41-2239B87BDFE4}" destId="{C0AB7AD2-7E83-4B8D-B350-2ED5FDDC2596}" srcOrd="0" destOrd="4" presId="urn:microsoft.com/office/officeart/2005/8/layout/chevron2"/>
    <dgm:cxn modelId="{EBDE3E20-EA32-4E89-8936-55DA5C4FF836}" type="presOf" srcId="{2406A613-C197-42D4-8519-B44C261CF0E9}" destId="{C0AB7AD2-7E83-4B8D-B350-2ED5FDDC2596}" srcOrd="0" destOrd="2" presId="urn:microsoft.com/office/officeart/2005/8/layout/chevron2"/>
    <dgm:cxn modelId="{FBB96B4B-9C02-4B7A-BD17-7362A9A6FAC4}" type="presOf" srcId="{1FEB1B38-B122-4F1C-AB77-C0966C82E5AF}" destId="{C0AB7AD2-7E83-4B8D-B350-2ED5FDDC2596}" srcOrd="0" destOrd="3" presId="urn:microsoft.com/office/officeart/2005/8/layout/chevron2"/>
    <dgm:cxn modelId="{ED13E2AC-190A-424E-B8A0-B1398F0CFEBB}" type="presOf" srcId="{60669904-2544-4092-93D9-912345AB37EE}" destId="{C0AB7AD2-7E83-4B8D-B350-2ED5FDDC2596}" srcOrd="0" destOrd="5" presId="urn:microsoft.com/office/officeart/2005/8/layout/chevron2"/>
    <dgm:cxn modelId="{2EC0F1AB-DBFE-41B9-B6EA-678322F06244}" srcId="{C90D5EA5-9C34-4609-858F-6B126C13CD50}" destId="{B4585458-0C6D-4B5B-894F-19EDDD3CA9F5}" srcOrd="6" destOrd="0" parTransId="{B485A2DA-9EDF-4080-AA97-E329FDE4A989}" sibTransId="{B32EA52B-0522-4E04-9EF4-1987FDF4680C}"/>
    <dgm:cxn modelId="{82D72369-FBCA-454B-8FB5-15AA4E7FE3A3}" type="presOf" srcId="{DCD7C1DC-9138-4F23-B448-3E25FAE554D0}" destId="{780E8BD3-D214-451F-AB99-EF5DEE88CAAC}" srcOrd="0" destOrd="0" presId="urn:microsoft.com/office/officeart/2005/8/layout/chevron2"/>
    <dgm:cxn modelId="{B3917278-3910-4CAE-8C09-A7733C061DE9}" srcId="{C90D5EA5-9C34-4609-858F-6B126C13CD50}" destId="{64F7E396-8D5D-4593-B211-BEDE2D3B7DFB}" srcOrd="11" destOrd="0" parTransId="{E35A6C4C-7265-4394-9736-CE5403EBE56F}" sibTransId="{01D9AB8F-39ED-4E07-8B9D-6044605CDE38}"/>
    <dgm:cxn modelId="{9768F66F-548F-4067-9D87-416CBBD88D86}" type="presOf" srcId="{74262D80-F888-40B4-8DDA-244CF729F3F5}" destId="{C0AB7AD2-7E83-4B8D-B350-2ED5FDDC2596}" srcOrd="0" destOrd="0" presId="urn:microsoft.com/office/officeart/2005/8/layout/chevron2"/>
    <dgm:cxn modelId="{B293821A-C2AD-4E3C-A900-A01A7D7A3610}" srcId="{C90D5EA5-9C34-4609-858F-6B126C13CD50}" destId="{74262D80-F888-40B4-8DDA-244CF729F3F5}" srcOrd="0" destOrd="0" parTransId="{09DF5D51-A0B7-4AE1-B2A5-496A7400EB21}" sibTransId="{C6BE28D3-A523-47B6-B14C-F7040D9145DB}"/>
    <dgm:cxn modelId="{0A6B45E8-364B-47A6-BB89-5A1F33A16908}" srcId="{C90D5EA5-9C34-4609-858F-6B126C13CD50}" destId="{1FEB1B38-B122-4F1C-AB77-C0966C82E5AF}" srcOrd="3" destOrd="0" parTransId="{F3356681-409A-419F-B70A-0FC9DCC919ED}" sibTransId="{A232D779-5FC8-4B6D-B7F3-F0C053C33765}"/>
    <dgm:cxn modelId="{E17F571A-3E58-4EC6-9203-8CE8DCC8BD9F}" srcId="{C90D5EA5-9C34-4609-858F-6B126C13CD50}" destId="{76B275FD-74FC-4B0D-9D79-D13897A43ADE}" srcOrd="10" destOrd="0" parTransId="{D290B2AC-67BB-4B39-97C4-7C1AC726D40B}" sibTransId="{7AA9EC8E-48F3-4B29-BB2B-74A0A8B21601}"/>
    <dgm:cxn modelId="{9606ACB0-C796-4C97-985E-45237DCEF833}" type="presOf" srcId="{6EFE7E71-11FD-43BA-B125-711C9B7170A4}" destId="{C0AB7AD2-7E83-4B8D-B350-2ED5FDDC2596}" srcOrd="0" destOrd="7" presId="urn:microsoft.com/office/officeart/2005/8/layout/chevron2"/>
    <dgm:cxn modelId="{28DEB414-BC5D-4786-9916-0DEDCA29D172}" srcId="{C90D5EA5-9C34-4609-858F-6B126C13CD50}" destId="{45A83412-DA8A-43B7-BC21-3B0BE385E712}" srcOrd="9" destOrd="0" parTransId="{63043309-56C7-41B9-81AE-CAB67E6B479C}" sibTransId="{E62E0FE2-BB96-4BDB-B7AF-5669AB15849C}"/>
    <dgm:cxn modelId="{B18545D8-F9B4-45FA-B379-1420A9004DC9}" srcId="{C90D5EA5-9C34-4609-858F-6B126C13CD50}" destId="{35FC7CD4-9E61-4FB2-96B9-405D73A7C2D3}" srcOrd="8" destOrd="0" parTransId="{8CC85F21-8436-41C1-B05A-00456E0020A0}" sibTransId="{6A643DBF-83B2-43AC-810F-2260A83706E2}"/>
    <dgm:cxn modelId="{C2ADCA96-6795-443A-8DE7-8D0EF0CCB010}" type="presOf" srcId="{B4585458-0C6D-4B5B-894F-19EDDD3CA9F5}" destId="{C0AB7AD2-7E83-4B8D-B350-2ED5FDDC2596}" srcOrd="0" destOrd="6" presId="urn:microsoft.com/office/officeart/2005/8/layout/chevron2"/>
    <dgm:cxn modelId="{2D93B376-6237-455B-BB4C-196D987AF013}" type="presOf" srcId="{76B275FD-74FC-4B0D-9D79-D13897A43ADE}" destId="{C0AB7AD2-7E83-4B8D-B350-2ED5FDDC2596}" srcOrd="0" destOrd="10" presId="urn:microsoft.com/office/officeart/2005/8/layout/chevron2"/>
    <dgm:cxn modelId="{3D9DE8DA-72A5-42EC-9541-B35E0FB61686}" srcId="{DCD7C1DC-9138-4F23-B448-3E25FAE554D0}" destId="{C90D5EA5-9C34-4609-858F-6B126C13CD50}" srcOrd="0" destOrd="0" parTransId="{5AF51C3C-D59A-4653-972E-FDAA9AF6F342}" sibTransId="{82B1786D-2A67-4FFD-ADA3-74A59A538FD3}"/>
    <dgm:cxn modelId="{1EBC2F50-61AD-4931-9EA0-0F8EE9E80500}" type="presOf" srcId="{35FC7CD4-9E61-4FB2-96B9-405D73A7C2D3}" destId="{C0AB7AD2-7E83-4B8D-B350-2ED5FDDC2596}" srcOrd="0" destOrd="8" presId="urn:microsoft.com/office/officeart/2005/8/layout/chevron2"/>
    <dgm:cxn modelId="{C3D1EF68-F46B-4566-BE82-4349A156D56C}" type="presOf" srcId="{70CD0513-FE56-4B0C-B53A-15CA9FE167E5}" destId="{C0AB7AD2-7E83-4B8D-B350-2ED5FDDC2596}" srcOrd="0" destOrd="1" presId="urn:microsoft.com/office/officeart/2005/8/layout/chevron2"/>
    <dgm:cxn modelId="{F3C2EA1A-7DCE-4D85-8BE5-F8AC453056C0}" srcId="{C90D5EA5-9C34-4609-858F-6B126C13CD50}" destId="{137A9627-9EF7-44F8-AB41-2239B87BDFE4}" srcOrd="4" destOrd="0" parTransId="{5001463E-2488-4037-9529-E191040D7F04}" sibTransId="{D75C56E8-D241-4202-A6D3-9B040AD912C5}"/>
    <dgm:cxn modelId="{9F5FC3B4-F404-4A96-AA7F-84799524B7B8}" srcId="{C90D5EA5-9C34-4609-858F-6B126C13CD50}" destId="{2406A613-C197-42D4-8519-B44C261CF0E9}" srcOrd="2" destOrd="0" parTransId="{BC9A0FD2-7496-400A-95B3-EC18C0606019}" sibTransId="{61329BC5-1FA9-4632-BB29-7ED7E20FB6F2}"/>
    <dgm:cxn modelId="{BDA697B1-A1C8-4C60-9FDD-F888019CCE3F}" srcId="{C90D5EA5-9C34-4609-858F-6B126C13CD50}" destId="{60669904-2544-4092-93D9-912345AB37EE}" srcOrd="5" destOrd="0" parTransId="{656BA17F-AAAB-4E35-8DA0-52073CBE1F4F}" sibTransId="{628EAF64-6F76-4562-A77C-40E2E97F270A}"/>
    <dgm:cxn modelId="{8A28F195-8249-49D8-8977-674022265F57}" type="presOf" srcId="{8D0F52C8-1FE2-4D12-9901-5F1D48FA1ECE}" destId="{C0AB7AD2-7E83-4B8D-B350-2ED5FDDC2596}" srcOrd="0" destOrd="12" presId="urn:microsoft.com/office/officeart/2005/8/layout/chevron2"/>
    <dgm:cxn modelId="{2B0EB172-9732-427C-A3A7-E5599AC190AF}" type="presOf" srcId="{C90D5EA5-9C34-4609-858F-6B126C13CD50}" destId="{9D63F7D9-C42A-4239-996E-3DD3D29C76B0}" srcOrd="0" destOrd="0" presId="urn:microsoft.com/office/officeart/2005/8/layout/chevron2"/>
    <dgm:cxn modelId="{6CD5E3F0-8C90-43CB-B4C4-762BB7A1FEBD}" srcId="{C90D5EA5-9C34-4609-858F-6B126C13CD50}" destId="{70CD0513-FE56-4B0C-B53A-15CA9FE167E5}" srcOrd="1" destOrd="0" parTransId="{DBE8CB02-EAC7-4ED1-B7BE-F0017C0E8E0F}" sibTransId="{CA91A798-07B8-417A-8E06-EF0155C2E3D6}"/>
    <dgm:cxn modelId="{B555B0A7-139A-4492-A601-6B2C14C62D71}" srcId="{C90D5EA5-9C34-4609-858F-6B126C13CD50}" destId="{6EFE7E71-11FD-43BA-B125-711C9B7170A4}" srcOrd="7" destOrd="0" parTransId="{03D0EE3A-B351-46B1-8615-60E91E8E652C}" sibTransId="{0E39FEBE-384D-4E6B-85E4-E482097B29E1}"/>
    <dgm:cxn modelId="{5AB06698-2248-42C5-8603-B4BC25D67A20}" srcId="{C90D5EA5-9C34-4609-858F-6B126C13CD50}" destId="{8D0F52C8-1FE2-4D12-9901-5F1D48FA1ECE}" srcOrd="12" destOrd="0" parTransId="{08B596CD-BC88-4B6F-99AD-1B45C9CEAAB8}" sibTransId="{66FA5843-A58F-4FC8-8520-07ADEAC07DF8}"/>
    <dgm:cxn modelId="{113F71FB-ADD6-46F1-86D7-0BE04CFDAAA7}" type="presOf" srcId="{45A83412-DA8A-43B7-BC21-3B0BE385E712}" destId="{C0AB7AD2-7E83-4B8D-B350-2ED5FDDC2596}" srcOrd="0" destOrd="9" presId="urn:microsoft.com/office/officeart/2005/8/layout/chevron2"/>
    <dgm:cxn modelId="{D9CD0FDB-FB4F-461A-AE32-D51C7C815D1D}" type="presParOf" srcId="{780E8BD3-D214-451F-AB99-EF5DEE88CAAC}" destId="{CC0608ED-9295-48B7-B2F5-6A2B6382F393}" srcOrd="0" destOrd="0" presId="urn:microsoft.com/office/officeart/2005/8/layout/chevron2"/>
    <dgm:cxn modelId="{FA605425-AA5A-4647-9697-D30C2CC89B57}" type="presParOf" srcId="{CC0608ED-9295-48B7-B2F5-6A2B6382F393}" destId="{9D63F7D9-C42A-4239-996E-3DD3D29C76B0}" srcOrd="0" destOrd="0" presId="urn:microsoft.com/office/officeart/2005/8/layout/chevron2"/>
    <dgm:cxn modelId="{7B90A7B5-7569-46D5-B0E7-DEEE7C0129C7}" type="presParOf" srcId="{CC0608ED-9295-48B7-B2F5-6A2B6382F393}" destId="{C0AB7AD2-7E83-4B8D-B350-2ED5FDDC2596}" srcOrd="1" destOrd="0" presId="urn:microsoft.com/office/officeart/2005/8/layout/chevron2"/>
  </dgm:cxnLst>
  <dgm:bg>
    <a:noFill/>
    <a:effectLst>
      <a:innerShdw blurRad="63500" dist="50800" dir="8100000">
        <a:prstClr val="black">
          <a:alpha val="50000"/>
        </a:prstClr>
      </a:inn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xmlns:a="http://schemas.openxmlformats.org/drawingml/2006/main" xmlns:dgm="http://schemas.openxmlformats.org/drawingml/2006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3F7D9-C42A-4239-996E-3DD3D29C76B0}">
      <dsp:nvSpPr>
        <dsp:cNvPr id="0" name=""/>
        <dsp:cNvSpPr/>
      </dsp:nvSpPr>
      <dsp:spPr>
        <a:xfrm rot="5400000">
          <a:off x="-2682349" y="2685414"/>
          <a:ext cx="6648668" cy="12839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Appropriate </a:t>
          </a:r>
          <a:r>
            <a:rPr lang="en-GB" sz="1200" b="1" kern="1200">
              <a:effectLst/>
            </a:rPr>
            <a:t>documentation for professional safety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effectLst/>
            </a:rPr>
            <a:t>&amp;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effectLst/>
            </a:rPr>
            <a:t>when presenting as case history</a:t>
          </a:r>
          <a:endParaRPr lang="en-NZ" sz="1200" kern="1200">
            <a:effectLst/>
          </a:endParaRPr>
        </a:p>
      </dsp:txBody>
      <dsp:txXfrm rot="-5400000">
        <a:off x="0" y="645050"/>
        <a:ext cx="1283970" cy="5364698"/>
      </dsp:txXfrm>
    </dsp:sp>
    <dsp:sp modelId="{C0AB7AD2-7E83-4B8D-B350-2ED5FDDC2596}">
      <dsp:nvSpPr>
        <dsp:cNvPr id="0" name=""/>
        <dsp:cNvSpPr/>
      </dsp:nvSpPr>
      <dsp:spPr>
        <a:xfrm rot="5400000">
          <a:off x="-717874" y="2043430"/>
          <a:ext cx="5929643" cy="19259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effectLst/>
            </a:rPr>
            <a:t>Gestational age in weeks and pregnancy history -(number of pregnancies and live births) </a:t>
          </a: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900" kern="1200"/>
            <a:t>Medical management plan (Blah Blah Blah  </a:t>
          </a: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effectLst/>
            </a:rPr>
            <a:t>Any risk factors of concern/</a:t>
          </a:r>
          <a:r>
            <a:rPr lang="en-GB" sz="900" kern="1200"/>
            <a:t>contraindications</a:t>
          </a: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900" kern="1200"/>
            <a:t>If medical risk factors - your communication with primary medical caregiver before offering treatment </a:t>
          </a:r>
          <a:r>
            <a:rPr lang="en-GB" sz="900" kern="1200"/>
            <a:t>for Blah .</a:t>
          </a: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Your diagnosis and treatment plan</a:t>
          </a: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Continuing communication with primary medical caregiver, as appropriate.</a:t>
          </a:r>
          <a:endParaRPr lang="en-NZ" sz="900" b="1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900" kern="1200">
            <a:effectLst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900" kern="1200">
            <a:effectLst/>
          </a:endParaRPr>
        </a:p>
      </dsp:txBody>
      <dsp:txXfrm rot="-5400000">
        <a:off x="1283969" y="135604"/>
        <a:ext cx="1831938" cy="5741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2829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Betts</dc:creator>
  <cp:lastModifiedBy>Sarah Tewhey</cp:lastModifiedBy>
  <cp:revision>2</cp:revision>
  <cp:lastPrinted>2020-11-26T01:34:00Z</cp:lastPrinted>
  <dcterms:created xsi:type="dcterms:W3CDTF">2021-03-29T20:14:00Z</dcterms:created>
  <dcterms:modified xsi:type="dcterms:W3CDTF">2021-03-29T20:14:00Z</dcterms:modified>
</cp:coreProperties>
</file>